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Xf06f28e664b39b50898f77de42d125c9db3c85d"/>
    <w:p>
      <w:pPr>
        <w:pStyle w:val="Heading1"/>
      </w:pPr>
      <w:r>
        <w:t xml:space="preserve">Case Study : Enhancing Independence through Occupational Therapy in New Zealand Auckland</w:t>
      </w:r>
    </w:p>
    <w:p>
      <w:pPr>
        <w:pStyle w:val="FirstParagraph"/>
      </w:pPr>
      <w:r>
        <w:rPr>
          <w:bCs/>
          <w:b/>
        </w:rPr>
        <w:t xml:space="preserve">Date:</w:t>
      </w:r>
      <w:r>
        <w:t xml:space="preserve"> </w:t>
      </w:r>
      <w:r>
        <w:t xml:space="preserve">October 24, 2023</w:t>
      </w:r>
      <w:r>
        <w:br/>
      </w:r>
      <w:r>
        <w:t xml:space="preserve">AU-OT-892</w:t>
      </w:r>
    </w:p>
    <w:bookmarkStart w:id="20" w:name="introduction-and-context"/>
    <w:p>
      <w:pPr>
        <w:pStyle w:val="Heading2"/>
      </w:pPr>
      <w:r>
        <w:t xml:space="preserve">1. Introduction and Context</w:t>
      </w:r>
    </w:p>
    <w:p>
      <w:pPr>
        <w:pStyle w:val="FirstParagraph"/>
      </w:pPr>
      <w:r>
        <w:t xml:space="preserve">This case study explores the intricate role of an Occupational Therapist (OT) within the vibrant and rapidly evolving healthcare landscape of New Zealand Auckland. As one of the largest cities in Aotearoa, Auckland presents a unique demographic mix, ranging from aging populations in suburban areas like Devonport to young families in Mount Wellington. This diversity necessitates a specialized approach to occupational therapy that respects cultural nuances, particularly Te Ao Māori (the Māori world view), while addressing modern urban health challenges.</w:t>
      </w:r>
    </w:p>
    <w:p>
      <w:pPr>
        <w:pStyle w:val="BodyText"/>
      </w:pPr>
      <w:r>
        <w:t xml:space="preserve">The primary objective of this case study is to analyze how an Occupational Therapist facilitates recovery, adaptation, and independence for a client named 'Sarah' (a pseudonym). Sarah is a 72-year-old resident of Auckland who recently suffered a stroke. The focus remains strictly on the therapeutic interventions provided within the Auckland health district framework.</w:t>
      </w:r>
    </w:p>
    <w:bookmarkEnd w:id="20"/>
    <w:bookmarkStart w:id="21" w:name="client-profile"/>
    <w:p>
      <w:pPr>
        <w:pStyle w:val="Heading2"/>
      </w:pPr>
      <w:r>
        <w:t xml:space="preserve">2. Client Profile</w:t>
      </w:r>
    </w:p>
    <w:p>
      <w:pPr>
        <w:pStyle w:val="FirstParagraph"/>
      </w:pPr>
      <w:r>
        <w:rPr>
          <w:bCs/>
          <w:b/>
        </w:rPr>
        <w:t xml:space="preserve">Name:</w:t>
      </w:r>
      <w:r>
        <w:t xml:space="preserve"> </w:t>
      </w:r>
      <w:r>
        <w:t xml:space="preserve">Sarah (Pseudonym)</w:t>
      </w:r>
      <w:r>
        <w:br/>
      </w:r>
      <w:r>
        <w:t xml:space="preserve">Auckland, New Zealand (Remuera suburb)Clinical History: Last year, Sarah experienced a mild stroke affecting her left side. She has residual weakness in her left hand and shoulder, along with mild spatial neglect. Previously independent in all Activities of Daily Living (ADLs), she now struggles with dressing, cooking, and driving. Her family lives locally but works full time.</w:t>
      </w:r>
    </w:p>
    <w:bookmarkEnd w:id="21"/>
    <w:bookmarkStart w:id="24" w:name="the-occupational-therapists-role"/>
    <w:p>
      <w:pPr>
        <w:pStyle w:val="Heading2"/>
      </w:pPr>
      <w:r>
        <w:t xml:space="preserve">3. The Occupational Therapist’s Role</w:t>
      </w:r>
    </w:p>
    <w:p>
      <w:pPr>
        <w:pStyle w:val="FirstParagraph"/>
      </w:pPr>
      <w:r>
        <w:t xml:space="preserve">In the context of New Zealand Auckland, the Occupational Therapist serves as a critical bridge between hospital discharge and community reintegration. Upon referral from an Auckland District Health Board (DHB) specialist, OT介入 began with a comprehensive home assessment.</w:t>
      </w:r>
    </w:p>
    <w:bookmarkStart w:id="22" w:name="X4611a83021b6ea9f7ad9f1d68db9b3900abb2ad"/>
    <w:p>
      <w:pPr>
        <w:pStyle w:val="Heading3"/>
      </w:pPr>
      <w:r>
        <w:t xml:space="preserve">3.1 Cultural Competency and Te Tiriti o Waitangi</w:t>
      </w:r>
    </w:p>
    <w:p>
      <w:pPr>
        <w:pStyle w:val="FirstParagraph"/>
      </w:pPr>
      <w:r>
        <w:t xml:space="preserve">A vital aspect of practicing as an Occupational Therapist in New Zealand is adherence to the principles of the Treaty of Waitangi (Te Tiriti o Waitangi). The OT engaged with Sarah’s whānau (family) early in the process. Understanding that health outcomes are improved when cultural identity is respected, the therapist incorporated tikanga Māori protocols. This included acknowledging Sarah’s iwi affiliations and ensuring that care plans aligned with her family’s values regarding independence and communal support.</w:t>
      </w:r>
    </w:p>
    <w:bookmarkEnd w:id="22"/>
    <w:bookmarkStart w:id="23" w:name="environmental-assessment"/>
    <w:p>
      <w:pPr>
        <w:pStyle w:val="Heading3"/>
      </w:pPr>
      <w:r>
        <w:t xml:space="preserve">3.2 Environmental Assessment</w:t>
      </w:r>
    </w:p>
    <w:p>
      <w:pPr>
        <w:pStyle w:val="FirstParagraph"/>
      </w:pPr>
      <w:r>
        <w:t xml:space="preserve">Auckland homes often feature steep driveways and narrow staircases, typical of the city’s volcanic terrain. The OT conducted a rigorous environmental assessment of Sarah’s two-story home. Key findings included:</w:t>
      </w:r>
    </w:p>
    <w:p>
      <w:pPr>
        <w:pStyle w:val="BodyText"/>
      </w:pPr>
      <w:r>
        <w:t xml:space="preserve">Hazardous steps without adequate handrails.</w:t>
      </w:r>
    </w:p>
    <w:p>
      <w:pPr>
        <w:pStyle w:val="BodyText"/>
      </w:pPr>
      <w:r>
        <w:t xml:space="preserve">Kitchen counters at an inaccessible height for her compromised reach.</w:t>
      </w:r>
    </w:p>
    <w:p>
      <w:pPr>
        <w:pStyle w:val="BodyText"/>
      </w:pPr>
      <w:r>
        <w:t xml:space="preserve">Lack of grab rails in the bathroom, posing a high fall risk.</w:t>
      </w:r>
    </w:p>
    <w:bookmarkEnd w:id="23"/>
    <w:bookmarkEnd w:id="24"/>
    <w:bookmarkStart w:id="28" w:name="intervention-strategy"/>
    <w:p>
      <w:pPr>
        <w:pStyle w:val="Heading2"/>
      </w:pPr>
      <w:r>
        <w:t xml:space="preserve">4. Intervention Strategy</w:t>
      </w:r>
    </w:p>
    <w:p>
      <w:pPr>
        <w:pStyle w:val="FirstParagraph"/>
      </w:pPr>
      <w:r>
        <w:t xml:space="preserve">The core philosophy of Occupational Therapy is enabling people to do the things they want and need to do through the therapeutic use of everyday activities. The intervention plan was divided into three phases.</w:t>
      </w:r>
    </w:p>
    <w:bookmarkStart w:id="25" w:name="phase-one-adaptation-and-safety"/>
    <w:p>
      <w:pPr>
        <w:pStyle w:val="Heading3"/>
      </w:pPr>
      <w:r>
        <w:t xml:space="preserve">4.1 Phase One: Adaptation and Safety</w:t>
      </w:r>
    </w:p>
    <w:p>
      <w:pPr>
        <w:pStyle w:val="FirstParagraph"/>
      </w:pPr>
      <w:r>
        <w:t xml:space="preserve">To ensure immediate safety, the OT coordinated with local Auckland council resources and private contractors to install grab rails in the bathroom and improve lighting in high-traffic areas. A shower chair was introduced, reducing the physical demand of bathing. These modifications were not just mechanical fixes; they were designed to preserve Sarah’s dignity while maximizing her remaining functional capacity.</w:t>
      </w:r>
    </w:p>
    <w:bookmarkEnd w:id="25"/>
    <w:bookmarkStart w:id="26" w:name="phase-two-skills-retraining"/>
    <w:p>
      <w:pPr>
        <w:pStyle w:val="Heading3"/>
      </w:pPr>
      <w:r>
        <w:t xml:space="preserve">4.2 Phase Two: Skills Retraining</w:t>
      </w:r>
    </w:p>
    <w:p>
      <w:pPr>
        <w:pStyle w:val="FirstParagraph"/>
      </w:pPr>
      <w:r>
        <w:t xml:space="preserve">The OT implemented a neuro-rehabilitation program focusing on the left upper limb. Using Constraint-Induced Movement Therapy (CIMT) techniques adapted for home use, Sarah practiced grasping tasks such as buttoning shirts and using utensils. The therapist utilized task-specific training, breaking down complex activities like making tea into smaller, manageable steps.</w:t>
      </w:r>
    </w:p>
    <w:p>
      <w:pPr>
        <w:pStyle w:val="BodyText"/>
      </w:pPr>
      <w:r>
        <w:t xml:space="preserve">Furthermore, addressing the spatial neglect was crucial. The OT employed scanning exercises to help Sarah become more aware of her left side. This cognitive retraining was integrated into daily routines, such as searching for keys or reading a book from left to right.</w:t>
      </w:r>
    </w:p>
    <w:bookmarkEnd w:id="26"/>
    <w:bookmarkStart w:id="27" w:name="phase-three-community-reintegration"/>
    <w:p>
      <w:pPr>
        <w:pStyle w:val="Heading3"/>
      </w:pPr>
      <w:r>
        <w:t xml:space="preserve">4.3 Phase Three: Community Reintegration</w:t>
      </w:r>
    </w:p>
    <w:p>
      <w:pPr>
        <w:pStyle w:val="FirstParagraph"/>
      </w:pPr>
      <w:r>
        <w:t xml:space="preserve">In Auckland, access to public transport is vital for social inclusion. The OT assessed Sarah’s ability to use the Auckland Transport (AT) network safely. They practiced boarding buses and using the SkyBus service from Auckland Airport (a route Sarah previously used frequently). Simulations were conducted during off-peak hours to build confidence without the pressure of crowds.</w:t>
      </w:r>
    </w:p>
    <w:bookmarkEnd w:id="27"/>
    <w:bookmarkEnd w:id="28"/>
    <w:bookmarkStart w:id="29" w:name="outcomes-and-evaluation"/>
    <w:p>
      <w:pPr>
        <w:pStyle w:val="Heading2"/>
      </w:pPr>
      <w:r>
        <w:t xml:space="preserve">5. Outcomes and Evaluation</w:t>
      </w:r>
    </w:p>
    <w:p>
      <w:pPr>
        <w:pStyle w:val="FirstParagraph"/>
      </w:pPr>
      <w:r>
        <w:t xml:space="preserve">After twelve weeks of intensive Occupational Therapy support, significant improvements were noted:</w:t>
      </w:r>
    </w:p>
    <w:p>
      <w:pPr>
        <w:numPr>
          <w:ilvl w:val="0"/>
          <w:numId w:val="1001"/>
        </w:numPr>
        <w:pStyle w:val="Compact"/>
      </w:pPr>
      <w:r>
        <w:t xml:space="preserve">Sarah regained 60% independence in dressing, utilizing adaptive buttons and elasticated waistbands recommended by the OT.</w:t>
      </w:r>
    </w:p>
    <w:p>
      <w:pPr>
        <w:numPr>
          <w:ilvl w:val="0"/>
          <w:numId w:val="1001"/>
        </w:numPr>
        <w:pStyle w:val="Compact"/>
      </w:pPr>
      <w:r>
        <w:t xml:space="preserve">Fall incidents decreased to zero post-modification.</w:t>
      </w:r>
    </w:p>
    <w:p>
      <w:pPr>
        <w:numPr>
          <w:ilvl w:val="0"/>
          <w:numId w:val="1001"/>
        </w:numPr>
        <w:pStyle w:val="Compact"/>
      </w:pPr>
      <w:r>
        <w:t xml:space="preserve">Sarah successfully resumed driving for short distances within her local suburb, having completed a driver rehabilitation assessment facilitated by the OT.</w:t>
      </w:r>
    </w:p>
    <w:p>
      <w:pPr>
        <w:numPr>
          <w:ilvl w:val="0"/>
          <w:numId w:val="1001"/>
        </w:numPr>
        <w:pStyle w:val="Compact"/>
      </w:pPr>
      <w:r>
        <w:t xml:space="preserve">Self-reported quality of life scores increased significantly, with Sarah expressing renewed confidence in hosting family gatherings.</w:t>
      </w:r>
    </w:p>
    <w:bookmarkEnd w:id="29"/>
    <w:bookmarkStart w:id="30" w:name="challenges-specific-to-auckland"/>
    <w:p>
      <w:pPr>
        <w:pStyle w:val="Heading2"/>
      </w:pPr>
      <w:r>
        <w:t xml:space="preserve">6. Challenges Specific to Auckland</w:t>
      </w:r>
    </w:p>
    <w:p>
      <w:pPr>
        <w:pStyle w:val="FirstParagraph"/>
      </w:pPr>
      <w:r>
        <w:t xml:space="preserve">The case study highlights specific challenges faced by Occupational Therapists in New Zealand Auckland:</w:t>
      </w:r>
    </w:p>
    <w:p>
      <w:pPr>
        <w:numPr>
          <w:ilvl w:val="0"/>
          <w:numId w:val="1002"/>
        </w:numPr>
        <w:pStyle w:val="Compact"/>
      </w:pPr>
      <w:r>
        <w:rPr>
          <w:bCs/>
          <w:b/>
        </w:rPr>
        <w:t xml:space="preserve">Funding Delays:</w:t>
      </w:r>
      <w:r>
        <w:t xml:space="preserve"> </w:t>
      </w:r>
      <w:r>
        <w:t xml:space="preserve">NZS (New Zealand Superannuation) and ACC (Accident Compensation Corporation) claims processes can be bureaucratic. The OT had to advocate aggressively for equipment funding.</w:t>
      </w:r>
    </w:p>
    <w:p>
      <w:pPr>
        <w:numPr>
          <w:ilvl w:val="0"/>
          <w:numId w:val="1002"/>
        </w:numPr>
        <w:pStyle w:val="Compact"/>
      </w:pPr>
      <w:r>
        <w:t xml:space="preserve">Housing Stock: Auckland’s older housing stock often lacks accessibility features, requiring costly renovations that strain public health budgets.</w:t>
      </w:r>
    </w:p>
    <w:p>
      <w:pPr>
        <w:numPr>
          <w:ilvl w:val="0"/>
          <w:numId w:val="1002"/>
        </w:numPr>
        <w:pStyle w:val="Compact"/>
      </w:pPr>
      <w:r>
        <w:t xml:space="preserve">Digital Divide: Incorporating telehealth options post-pandemic required ensuring Sarah had adequate digital literacy and internet access, which was addressed through community volunteer programs.</w:t>
      </w:r>
    </w:p>
    <w:bookmarkEnd w:id="30"/>
    <w:bookmarkStart w:id="31" w:name="conclusion"/>
    <w:p>
      <w:pPr>
        <w:pStyle w:val="Heading2"/>
      </w:pPr>
      <w:r>
        <w:t xml:space="preserve">7. Conclusion</w:t>
      </w:r>
    </w:p>
    <w:p>
      <w:pPr>
        <w:pStyle w:val="FirstParagraph"/>
      </w:pPr>
      <w:r>
        <w:t xml:space="preserve">This case study demonstrates that an Occupational Therapist is not merely a prescriber of equipment but a holistic advocate for independence. In the context of New Zealand Auckland, the role demands cultural sensitivity, environmental expertise, and strong advocacy skills.</w:t>
      </w:r>
    </w:p>
    <w:p>
      <w:pPr>
        <w:pStyle w:val="BodyText"/>
      </w:pPr>
      <w:r>
        <w:t xml:space="preserve">For Sarah, the intervention did more than restore motor function; it restored her identity as an active member of her community. The success of this case underscores the importance of specialized Occupational Therapy services in managing age-related health issues in urban New Zealand settings. As Auckland continues to grow, integrating such personalized, culturally grounded therapeutic models will be essential for maintaining public health and social well-being.</w:t>
      </w:r>
    </w:p>
    <w:bookmarkEnd w:id="31"/>
    <w:bookmarkStart w:id="32" w:name="recommendations"/>
    <w:p>
      <w:pPr>
        <w:pStyle w:val="Heading2"/>
      </w:pPr>
      <w:r>
        <w:t xml:space="preserve">8. Recommendations</w:t>
      </w:r>
    </w:p>
    <w:p>
      <w:pPr>
        <w:pStyle w:val="FirstParagraph"/>
      </w:pPr>
      <w:r>
        <w:t xml:space="preserve">Based on this case study, it is recommended that:</w:t>
      </w:r>
    </w:p>
    <w:p>
      <w:pPr>
        <w:pStyle w:val="BodyText"/>
      </w:pPr>
      <w:r>
        <w:t xml:space="preserve">Auckland District Health Boards expand referral pathways for early post-stroke OT interventions.</w:t>
      </w:r>
    </w:p>
    <w:p>
      <w:pPr>
        <w:pStyle w:val="BodyText"/>
      </w:pPr>
      <w:r>
        <w:t xml:space="preserve">More training be provided to Occupational Therapists in urban environmental adaptations specific to Auckland’s topography.</w:t>
      </w:r>
    </w:p>
    <w:p>
      <w:pPr>
        <w:pStyle w:val="BodyText"/>
      </w:pPr>
      <w:r>
        <w:t xml:space="preserve">Strengthened partnerships between OTs and local community groups to support long-term social engagement for clients like Sarah.</w:t>
      </w:r>
    </w:p>
    <w:p>
      <w:pPr>
        <w:pStyle w:val="BodyText"/>
      </w:pPr>
      <w:r>
        <w:t xml:space="preserve">End of Case Study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Occupational Therapist in New Zealand Auckland</dc:title>
  <dc:creator/>
  <dc:language>en</dc:language>
  <cp:keywords/>
  <dcterms:created xsi:type="dcterms:W3CDTF">2026-07-29T20:32:37Z</dcterms:created>
  <dcterms:modified xsi:type="dcterms:W3CDTF">2026-07-29T20:32:37Z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