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Interventions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e2cfca0f63539a08b2e6e7d7be8db36e8c1725c"/>
    <w:p>
      <w:pPr>
        <w:pStyle w:val="Heading1"/>
      </w:pPr>
      <w:r>
        <w:t xml:space="preserve">Case Study: Enhancing Community Independence Through Occupational Therapy in United Kingdom Birmingham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Treatment Setting:</w:t>
      </w:r>
    </w:p>
    <w:bookmarkStart w:id="20" w:name="introduction-and-context"/>
    <w:p>
      <w:pPr>
        <w:pStyle w:val="Heading2"/>
      </w:pPr>
      <w:r>
        <w:t xml:space="preserve">1. Introduction and Context</w:t>
      </w:r>
    </w:p>
    <w:p>
      <w:pPr>
        <w:pStyle w:val="FirstParagraph"/>
      </w:pPr>
      <w:r>
        <w:t xml:space="preserve">This case study explores the holistic intervention provided by a qualified Occupational Therapist (OT) within the specific socio-cultural and healthcare landscape of the United Kingdom, focusing on Birmingham. As one of the largest cities in England, Birmingham presents unique challenges regarding diverse population needs, urban living constraints, and integration with the National Health Service (NHS). The primary objective of this document is to illustrate how specialized Occupational Therapy services address complex functional deficits while adhering to British clinical standards and local council requirements. The patient referred to herein has been anonymized to protect privacy in accordance with General Data Protection Regulation (GDPR) and NHS confidentiality protocols.</w:t>
      </w:r>
    </w:p>
    <w:bookmarkEnd w:id="20"/>
    <w:bookmarkStart w:id="21" w:name="patient-profile-arthur"/>
    <w:p>
      <w:pPr>
        <w:pStyle w:val="Heading2"/>
      </w:pPr>
      <w:r>
        <w:t xml:space="preserve">2. Patient Profile: "Arthur"</w:t>
      </w:r>
    </w:p>
    <w:p>
      <w:pPr>
        <w:pStyle w:val="FirstParagraph"/>
      </w:pPr>
      <w:r>
        <w:rPr>
          <w:bCs/>
          <w:b/>
        </w:rPr>
        <w:t xml:space="preserve">Name:</w:t>
      </w:r>
      <w:r>
        <w:t xml:space="preserve"> </w:t>
      </w:r>
      <w:r>
        <w:t xml:space="preserve">Arthur (Pseudonym)</w:t>
      </w:r>
      <w:r>
        <w:br/>
      </w:r>
      <w:r>
        <w:rPr>
          <w:bCs/>
          <w:b/>
        </w:rPr>
        <w:t xml:space="preserve">Age:</w:t>
      </w:r>
      <w:r>
        <w:rPr>
          <w:bCs/>
          <w:b/>
          <w:bCs/>
          <w:b/>
        </w:rPr>
        <w:t xml:space="preserve">Domicile</w:t>
      </w:r>
      <w:r>
        <w:rPr>
          <w:bCs/>
          <w:b/>
        </w:rPr>
        <w:t xml:space="preserve">: Semi-detached housing estate in Edgbaston, Birmingham.</w:t>
      </w:r>
      <w:r>
        <w:br/>
      </w:r>
      <w:r>
        <w:rPr>
          <w:bCs/>
          <w:b/>
          <w:bCs/>
          <w:b/>
        </w:rPr>
        <w:t xml:space="preserve">Mechanism of Injury/Illness: Ischemic Stroke affecting the left hemisphere three months prior to referral.</w:t>
      </w:r>
      <w:r>
        <w:br/>
      </w:r>
    </w:p>
    <w:p>
      <w:pPr>
        <w:pStyle w:val="BodyText"/>
      </w:pPr>
      <w:r>
        <w:t xml:space="preserve">Primary Diagnoses: Left-sided hemiparesis, mild aphasia, and post-stroke fatigue syndrome.</w:t>
      </w:r>
    </w:p>
    <w:bookmarkEnd w:id="21"/>
    <w:bookmarkStart w:id="22" w:name="referral-source-and-initial-assessment"/>
    <w:p>
      <w:pPr>
        <w:pStyle w:val="Heading2"/>
      </w:pPr>
      <w:r>
        <w:t xml:space="preserve">3. Referral Source and Initial Assessment</w:t>
      </w:r>
    </w:p>
    <w:p>
      <w:pPr>
        <w:pStyle w:val="FirstParagraph"/>
      </w:pPr>
      <w:r>
        <w:t xml:space="preserve">The referral originated from the acute stroke unit at Birmingham Women’s and Children’s NHS Foundation Trust before Arthur was discharged to community-based rehabilitation. The referring physiotherapist identified significant barriers to home safety and independent toileting, which threatened Arthur's ability to remain in his own home—a primary goal for both the patient and his family living in United Kingdom Birmingham.</w:t>
      </w:r>
    </w:p>
    <w:p>
      <w:pPr>
        <w:pStyle w:val="BodyText"/>
      </w:pPr>
      <w:r>
        <w:t xml:space="preserve">Upon initial contact, the Occupational Therapist conducted a comprehensive biopsychosocial assessment. This evaluation included:</w:t>
      </w:r>
    </w:p>
    <w:p>
      <w:pPr>
        <w:numPr>
          <w:ilvl w:val="0"/>
          <w:numId w:val="1001"/>
        </w:numPr>
        <w:pStyle w:val="Compact"/>
      </w:pPr>
      <w:r>
        <w:rPr>
          <w:bCs/>
          <w:b/>
        </w:rPr>
        <w:t xml:space="preserve">Motor Function:</w:t>
      </w:r>
    </w:p>
    <w:p>
      <w:pPr>
        <w:numPr>
          <w:ilvl w:val="0"/>
          <w:numId w:val="1001"/>
        </w:numPr>
        <w:pStyle w:val="Compact"/>
      </w:pPr>
      <w:r>
        <w:t xml:space="preserve">Cognitive/Linguistic: Mild expressive aphasia limited his ability to communicate needs clearly, increasing frustration levels.</w:t>
      </w:r>
    </w:p>
    <w:bookmarkEnd w:id="22"/>
    <w:bookmarkStart w:id="27" w:name="intervention-strategy"/>
    <w:p>
      <w:pPr>
        <w:pStyle w:val="Heading2"/>
      </w:pPr>
      <w:r>
        <w:t xml:space="preserve">4. Intervention Strategy</w:t>
      </w:r>
    </w:p>
    <w:p>
      <w:pPr>
        <w:pStyle w:val="FirstParagraph"/>
      </w:pPr>
      <w:r>
        <w:t xml:space="preserve">The treatment plan was co-produced with Arthur and his wife, adhering to the Royal College of Occupational Therapists (RCOT) standards. The interventions were tailored to the specific context of United Kingdom Birmingham, considering local resources such as Birmingham City Council’s adult social care provisions.</w:t>
      </w:r>
    </w:p>
    <w:bookmarkStart w:id="23" w:name="activity-analysis-and-adaptation"/>
    <w:p>
      <w:pPr>
        <w:pStyle w:val="Heading3"/>
      </w:pPr>
      <w:r>
        <w:t xml:space="preserve">4.1 Activity Analysis and Adaptation</w:t>
      </w:r>
    </w:p>
    <w:p>
      <w:pPr>
        <w:pStyle w:val="FirstParagraph"/>
      </w:pPr>
      <w:r>
        <w:t xml:space="preserve">The core focus was on Activities of Daily Living (ADLs). The Occupational Therapist broke down complex tasks into manageable steps. For example, dressing was retrained using one-handed techniques for the left side, utilizing adaptive equipment such as button hooks and long-handled shoehorns sourced through NHS supplies.</w:t>
      </w:r>
    </w:p>
    <w:bookmarkEnd w:id="23"/>
    <w:bookmarkStart w:id="24" w:name="home-modifications"/>
    <w:p>
      <w:pPr>
        <w:pStyle w:val="Heading3"/>
      </w:pPr>
      <w:r>
        <w:t xml:space="preserve">4.2 Home Modifications</w:t>
      </w:r>
    </w:p>
    <w:p>
      <w:pPr>
        <w:pStyle w:val="FirstParagraph"/>
      </w:pPr>
      <w:r>
        <w:t xml:space="preserve">A crucial component of this Case Study involved securing funding for home adaptations via Birmingham City Council’s Disabled Facilities Grant (DFG). The Occupational Therapist liaised with surveyors to recommend:</w:t>
      </w:r>
    </w:p>
    <w:p>
      <w:pPr>
        <w:numPr>
          <w:ilvl w:val="0"/>
          <w:numId w:val="1002"/>
        </w:numPr>
        <w:pStyle w:val="Compact"/>
      </w:pPr>
      <w:r>
        <w:t xml:space="preserve">Addition of reinforced grab rails in the bathroom and near the toilet.</w:t>
      </w:r>
    </w:p>
    <w:p>
      <w:pPr>
        <w:numPr>
          <w:ilvl w:val="0"/>
          <w:numId w:val="1002"/>
        </w:numPr>
        <w:pStyle w:val="Compact"/>
      </w:pPr>
      <w:r>
        <w:t xml:space="preserve">Kitchen height adjustments to reduce bending and reaching strain on the right (unaffected) side.</w:t>
      </w:r>
    </w:p>
    <w:bookmarkEnd w:id="24"/>
    <w:bookmarkStart w:id="25" w:name="cognitive-linguistic-support"/>
    <w:p>
      <w:pPr>
        <w:pStyle w:val="Heading3"/>
      </w:pPr>
      <w:r>
        <w:t xml:space="preserve">4.3 Cognitive-Linguistic Support</w:t>
      </w:r>
    </w:p>
    <w:p>
      <w:pPr>
        <w:pStyle w:val="FirstParagraph"/>
      </w:pPr>
      <w:r>
        <w:t xml:space="preserve">To address aphasia, the Occupational Therapist introduced a personalized communication board and utilized apps designed for speech therapy available in the UK market. Regular sessions focused on functional communication, such as ordering tea or asking for help, ensuring Arthur retained his social identity within his community.</w:t>
      </w:r>
    </w:p>
    <w:bookmarkEnd w:id="25"/>
    <w:bookmarkStart w:id="26" w:name="community-reintegration"/>
    <w:p>
      <w:pPr>
        <w:pStyle w:val="Heading3"/>
      </w:pPr>
      <w:r>
        <w:t xml:space="preserve">4.4 Community Reintegration</w:t>
      </w:r>
    </w:p>
    <w:p>
      <w:pPr>
        <w:pStyle w:val="FirstParagraph"/>
      </w:pPr>
      <w:r>
        <w:t xml:space="preserve">A significant barrier was Arthur’s anxiety about leaving the house. The Occupational Therapist collaborated with local Birmingham voluntary sectors, including Age UK Birmingham branches, to facilitate gradual exposure therapy. This included accompanied walks to nearby shops and utilizing public transport options like the West Midlands Metro, adapting strategies for crowd navigation.</w:t>
      </w:r>
    </w:p>
    <w:bookmarkEnd w:id="26"/>
    <w:bookmarkEnd w:id="27"/>
    <w:bookmarkStart w:id="28" w:name="outcomes-and-evaluation"/>
    <w:p>
      <w:pPr>
        <w:pStyle w:val="Heading2"/>
      </w:pPr>
      <w:r>
        <w:t xml:space="preserve">5. Outcomes and Evaluation</w:t>
      </w:r>
    </w:p>
    <w:p>
      <w:pPr>
        <w:pStyle w:val="FirstParagraph"/>
      </w:pPr>
      <w:r>
        <w:t xml:space="preserve">After twelve weeks of intensive intervention, re-assessment revealed significant improvements:</w:t>
      </w:r>
    </w:p>
    <w:p>
      <w:pPr>
        <w:pStyle w:val="BodyText"/>
      </w:pPr>
      <w:r>
        <w:rPr>
          <w:iCs/>
          <w:i/>
          <w:bCs/>
          <w:b/>
        </w:rPr>
        <w:t xml:space="preserve">"The transformation in Arthur’s confidence has been remarkable. He is now able to prepare simple meals independently and manage his personal hygiene with minimal supervision." - Senior Occupational Therapist</w:t>
      </w:r>
    </w:p>
    <w:p>
      <w:pPr>
        <w:numPr>
          <w:ilvl w:val="0"/>
          <w:numId w:val="1003"/>
        </w:numPr>
        <w:pStyle w:val="Compact"/>
      </w:pPr>
      <w:r>
        <w:t xml:space="preserve">Mobility: Timed Up and Go improved to 28 seconds, indicating reduced fall risk.</w:t>
      </w:r>
    </w:p>
    <w:p>
      <w:pPr>
        <w:numPr>
          <w:ilvl w:val="0"/>
          <w:numId w:val="1003"/>
        </w:numPr>
        <w:pStyle w:val="Compact"/>
      </w:pPr>
      <w:r>
        <w:t xml:space="preserve">Independence: Arthur achieved Level 1 Assistance (Setup/Verbal Cueing) for dressing and grooming, down from Level 3 (Partial Assist).</w:t>
      </w:r>
    </w:p>
    <w:p>
      <w:pPr>
        <w:numPr>
          <w:ilvl w:val="0"/>
          <w:numId w:val="1003"/>
        </w:numPr>
        <w:pStyle w:val="Compact"/>
      </w:pPr>
      <w:r>
        <w:t xml:space="preserve">Social Participation: Arthur re-engaged with a local community group in Birmingham, citing improved mental well-being and reduced isolation.</w:t>
      </w:r>
    </w:p>
    <w:bookmarkEnd w:id="28"/>
    <w:bookmarkStart w:id="29" w:name="Xa26462cd0a564167e4ef5a05aad7af7a9cd72f6"/>
    <w:p>
      <w:pPr>
        <w:pStyle w:val="Heading2"/>
      </w:pPr>
      <w:r>
        <w:t xml:space="preserve">6. Discussion: The Role of the Occupational Therapist in United Kingdom Birmingham</w:t>
      </w:r>
    </w:p>
    <w:p>
      <w:pPr>
        <w:pStyle w:val="FirstParagraph"/>
      </w:pPr>
      <w:r>
        <w:t xml:space="preserve">This Case Study underscores the multifaceted role of an Occupational Therapist within the complex healthcare ecosystem of United Kingdom Birmingham. Unlike purely medical models, OTs in this region operate at the intersection of clinical rehabilitation, social care law, and community resource management.</w:t>
      </w:r>
    </w:p>
    <w:p>
      <w:pPr>
        <w:pStyle w:val="BodyText"/>
      </w:pPr>
      <w:r>
        <w:t xml:space="preserve">The success of Arthur’s recovery was not solely due to clinical skill but also depended on effective navigation of local systems. The Occupational Therapist acted as an advocate, ensuring that Birmingham City Council understood the necessity of timely DFG approvals. Furthermore, the integration with local NHS trust protocols ensured continuity of care from hospital to home.</w:t>
      </w:r>
    </w:p>
    <w:p>
      <w:pPr>
        <w:pStyle w:val="BodyText"/>
      </w:pPr>
      <w:r>
        <w:t xml:space="preserve">Moreover, the cultural diversity inherent in Birmingham required culturally sensitive interventions. For instance dietary preferences and religious practices were respected during meal-preparation training, highlighting the importance of person-centered care specific to this demographic.</w:t>
      </w:r>
    </w:p>
    <w:bookmarkEnd w:id="29"/>
    <w:bookmarkStart w:id="30" w:name="conclusion"/>
    <w:p>
      <w:pPr>
        <w:pStyle w:val="Heading2"/>
      </w:pPr>
      <w:r>
        <w:t xml:space="preserve">7. Conclusion</w:t>
      </w:r>
    </w:p>
    <w:p>
      <w:pPr>
        <w:pStyle w:val="FirstParagraph"/>
      </w:pPr>
      <w:r>
        <w:t xml:space="preserve">In conclusion, this Case Study demonstrates that effective Occupational Therapy in United Kingdom Birmingham requires a blend of clinical expertise, environmental modification skills, and strong interdisciplinary collaboration. By focusing on meaningful occupations and adapting the environment to the individual’s needs, the Occupational Therapist facilitated Arthur’s transition from a dependent patient to an active community member. This approach not only improves individual quality of life but also reduces long-term pressures on health and social care services in the region.</w:t>
      </w:r>
    </w:p>
    <w:p>
      <w:pPr>
        <w:pStyle w:val="BodyText"/>
      </w:pPr>
      <w:r>
        <w:t xml:space="preserve">The findings reinforce the critical value of Occupational Therapy as a vital service within Birmingham’s public health infrastructure, ensuring that patients like Arthur can age in place with dignity, safety, and independence.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Interventions in United Kingdom Birmingham</dc:title>
  <dc:creator/>
  <dc:language>en</dc:language>
  <cp:keywords/>
  <dcterms:created xsi:type="dcterms:W3CDTF">2026-07-29T06:56:32Z</dcterms:created>
  <dcterms:modified xsi:type="dcterms:W3CDTF">2026-07-29T06:56:32Z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