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Ophthalmological</w:t>
      </w:r>
      <w:r>
        <w:t xml:space="preserve"> </w:t>
      </w:r>
      <w:r>
        <w:t xml:space="preserve">Care</w:t>
      </w:r>
      <w:r>
        <w:t xml:space="preserve"> </w:t>
      </w:r>
      <w:r>
        <w:t xml:space="preserve">in</w:t>
      </w:r>
      <w:r>
        <w:t xml:space="preserve"> </w:t>
      </w:r>
      <w:r>
        <w:t xml:space="preserve">Australia</w:t>
      </w:r>
      <w:r>
        <w:t xml:space="preserve"> </w:t>
      </w:r>
      <w:r>
        <w:t xml:space="preserve">Sydney</w:t>
      </w:r>
    </w:p>
    <w:bookmarkStart w:id="31" w:name="Xfe6b13c2055ce533f3f8a9746b60849acc9b36f"/>
    <w:p>
      <w:pPr>
        <w:pStyle w:val="Heading1"/>
      </w:pPr>
      <w:r>
        <w:t xml:space="preserve">Case Study: Revolutionizing Ophthalmologist Services in Australia Sydney</w:t>
      </w:r>
    </w:p>
    <w:p>
      <w:pPr>
        <w:pStyle w:val="FirstParagraph"/>
      </w:pPr>
      <w:r>
        <w:rPr>
          <w:bCs/>
          <w:b/>
        </w:rPr>
        <w:t xml:space="preserve">Date:</w:t>
      </w:r>
      <w:r>
        <w:t xml:space="preserve"> </w:t>
      </w:r>
      <w:r>
        <w:t xml:space="preserve">October 2023</w:t>
      </w:r>
      <w:r>
        <w:br/>
      </w:r>
      <w:r>
        <w:rPr>
          <w:bCs/>
          <w:b/>
        </w:rPr>
        <w:t xml:space="preserve">Audience:Subject:</w:t>
      </w:r>
      <w:r>
        <w:t xml:space="preserve"> </w:t>
      </w:r>
      <w:r>
        <w:t xml:space="preserve">Integration of AI-driven diagnostics and patient-centric care models for an Ophthalmologist practice in the bustling metropolitan hub of Australia Sydney.</w:t>
      </w:r>
    </w:p>
    <w:bookmarkStart w:id="20" w:name="executive-summary"/>
    <w:p>
      <w:pPr>
        <w:pStyle w:val="Heading2"/>
      </w:pPr>
      <w:r>
        <w:t xml:space="preserve">1. Executive Summary</w:t>
      </w:r>
    </w:p>
    <w:p>
      <w:pPr>
        <w:pStyle w:val="FirstParagraph"/>
      </w:pPr>
      <w:r>
        <w:t xml:space="preserve">This case study examines the operational transformation of a premier ophthalmology clinic located in the heart of Sydney, Australia. As one of the most rapidly aging populations globally, and specifically within New South Wales, there is an unprecedented demand for specialized eye care. The primary objective was to enhance patient throughput while maintaining high standards of diagnostic accuracy for an</w:t>
      </w:r>
      <w:r>
        <w:t xml:space="preserve"> </w:t>
      </w:r>
      <w:r>
        <w:rPr>
          <w:bCs/>
          <w:b/>
        </w:rPr>
        <w:t xml:space="preserve">Ophthalmologist</w:t>
      </w:r>
      <w:r>
        <w:t xml:space="preserve"> </w:t>
      </w:r>
      <w:r>
        <w:t xml:space="preserve">practicing in</w:t>
      </w:r>
      <w:r>
        <w:t xml:space="preserve"> </w:t>
      </w:r>
      <w:r>
        <w:rPr>
          <w:bCs/>
          <w:b/>
        </w:rPr>
        <w:t xml:space="preserve">Australia Sydney</w:t>
      </w:r>
      <w:r>
        <w:t xml:space="preserve">. By integrating advanced telemedicine platforms with on-site AI diagnostics, the clinic successfully reduced wait times by 40% and improved early detection rates for diabetic retinopathy and glaucoma.</w:t>
      </w:r>
    </w:p>
    <w:bookmarkEnd w:id="20"/>
    <w:bookmarkStart w:id="21" w:name="X88d07e3334db4a43c99c019b048c12766a28b34"/>
    <w:p>
      <w:pPr>
        <w:pStyle w:val="Heading2"/>
      </w:pPr>
      <w:r>
        <w:t xml:space="preserve">2. Background and Context: The Landscape of Eye Care in Australia Sydney</w:t>
      </w:r>
    </w:p>
    <w:p>
      <w:pPr>
        <w:pStyle w:val="FirstParagraph"/>
      </w:pPr>
      <w:r>
        <w:rPr>
          <w:bCs/>
          <w:b/>
        </w:rPr>
        <w:t xml:space="preserve">Australia Sydney</w:t>
      </w:r>
      <w:r>
        <w:t xml:space="preserve">, as the economic capital of the nation, presents unique challenges regarding healthcare accessibility. The population density is high, yet socioeconomic disparities are significant across various suburbs from the Eastern Suburbs to Western Sydney. An</w:t>
      </w:r>
      <w:r>
        <w:t xml:space="preserve"> </w:t>
      </w:r>
      <w:r>
        <w:rPr>
          <w:bCs/>
          <w:b/>
        </w:rPr>
        <w:t xml:space="preserve">Ophthalmologist</w:t>
      </w:r>
      <w:r>
        <w:t xml:space="preserve"> </w:t>
      </w:r>
      <w:r>
        <w:t xml:space="preserve">operating in this region must navigate a complex web of public and private health systems. Medicare Australia provides bulk-billed services for certain conditions, but the demand often outstrips supply, leading to lengthy waiting lists for non-urgent consultations.</w:t>
      </w:r>
    </w:p>
    <w:p>
      <w:pPr>
        <w:pStyle w:val="BodyText"/>
      </w:pPr>
      <w:r>
        <w:t xml:space="preserve">Furthermore, Sydney is home to a diverse multicultural population. Language barriers and varying levels of health literacy complicate patient education regarding chronic eye conditions such as age-related macular degeneration (AMD) and cataracts. The local demographic also features a high incidence of lifestyle-related eye diseases due to urban stressors, including prolonged screen time and environmental factors specific to the Sydney climate.</w:t>
      </w:r>
    </w:p>
    <w:bookmarkEnd w:id="21"/>
    <w:bookmarkStart w:id="22" w:name="problem-statement"/>
    <w:p>
      <w:pPr>
        <w:pStyle w:val="Heading2"/>
      </w:pPr>
      <w:r>
        <w:t xml:space="preserve">3. Problem Statement</w:t>
      </w:r>
    </w:p>
    <w:p>
      <w:pPr>
        <w:pStyle w:val="FirstParagraph"/>
      </w:pPr>
      <w:r>
        <w:t xml:space="preserve">The clinic faced three critical challenges typical for an established practice in</w:t>
      </w:r>
      <w:r>
        <w:t xml:space="preserve"> </w:t>
      </w:r>
      <w:r>
        <w:rPr>
          <w:bCs/>
          <w:b/>
        </w:rPr>
        <w:t xml:space="preserve">Australia Sydney</w:t>
      </w:r>
      <w:r>
        <w:t xml:space="preserve">:</w:t>
      </w:r>
    </w:p>
    <w:p>
      <w:pPr>
        <w:numPr>
          <w:ilvl w:val="0"/>
          <w:numId w:val="1001"/>
        </w:numPr>
        <w:pStyle w:val="Compact"/>
      </w:pPr>
      <w:r>
        <w:rPr>
          <w:bCs/>
          <w:b/>
        </w:rPr>
        <w:t xml:space="preserve">Congestion and Wait Times:</w:t>
      </w:r>
      <w:r>
        <w:t xml:space="preserve"> </w:t>
      </w:r>
      <w:r>
        <w:t xml:space="preserve">Patients were waiting up to six weeks for initial consultations, delaying diagnoses of sight-threatening conditions.</w:t>
      </w:r>
    </w:p>
    <w:p>
      <w:pPr>
        <w:numPr>
          <w:ilvl w:val="0"/>
          <w:numId w:val="1001"/>
        </w:numPr>
        <w:pStyle w:val="Compact"/>
      </w:pPr>
      <w:r>
        <w:rPr>
          <w:bCs/>
          <w:b/>
        </w:rPr>
        <w:t xml:space="preserve">Digital Fragmentation:</w:t>
      </w:r>
      <w:r>
        <w:t xml:space="preserve"> </w:t>
      </w:r>
      <w:r>
        <w:t xml:space="preserve">Patient records were siloed, making it difficult for the</w:t>
      </w:r>
      <w:r>
        <w:t xml:space="preserve"> </w:t>
      </w:r>
      <w:r>
        <w:rPr>
          <w:bCs/>
          <w:b/>
        </w:rPr>
        <w:t xml:space="preserve">Ophthalmologist</w:t>
      </w:r>
      <w:r>
        <w:t xml:space="preserve"> </w:t>
      </w:r>
      <w:r>
        <w:t xml:space="preserve">to access historical data from allied health professionals or optical providers.</w:t>
      </w:r>
    </w:p>
    <w:p>
      <w:pPr>
        <w:numPr>
          <w:ilvl w:val="0"/>
          <w:numId w:val="1001"/>
        </w:numPr>
        <w:pStyle w:val="Compact"/>
      </w:pPr>
      <w:r>
        <w:rPr>
          <w:bCs/>
          <w:b/>
        </w:rPr>
        <w:t xml:space="preserve">Patient Anxiety and Understanding:</w:t>
      </w:r>
      <w:r>
        <w:t xml:space="preserve"> </w:t>
      </w:r>
      <w:r>
        <w:t xml:space="preserve">Patients often left consultations without fully understanding their diagnosis due to information overload and lack of visual aids.</w:t>
      </w:r>
    </w:p>
    <w:bookmarkEnd w:id="22"/>
    <w:bookmarkStart w:id="26" w:name="solution-implementation"/>
    <w:p>
      <w:pPr>
        <w:pStyle w:val="Heading2"/>
      </w:pPr>
      <w:r>
        <w:t xml:space="preserve">4. Solution Implementation</w:t>
      </w:r>
    </w:p>
    <w:p>
      <w:pPr>
        <w:pStyle w:val="FirstParagraph"/>
      </w:pPr>
      <w:r>
        <w:t xml:space="preserve">To address these issues, the clinic implemented a comprehensive digital transformation strategy tailored specifically for the regulatory and cultural environment of healthcare in</w:t>
      </w:r>
      <w:r>
        <w:t xml:space="preserve"> </w:t>
      </w:r>
      <w:r>
        <w:rPr>
          <w:bCs/>
          <w:b/>
        </w:rPr>
        <w:t xml:space="preserve">Australia Sydney</w:t>
      </w:r>
      <w:r>
        <w:t xml:space="preserve">.</w:t>
      </w:r>
    </w:p>
    <w:bookmarkStart w:id="23" w:name="integration-of-ai-assisted-diagnostics"/>
    <w:p>
      <w:pPr>
        <w:pStyle w:val="Heading3"/>
      </w:pPr>
      <w:r>
        <w:t xml:space="preserve">4.1 Integration of AI-Assisted Diagnostics</w:t>
      </w:r>
    </w:p>
    <w:p>
      <w:pPr>
        <w:pStyle w:val="FirstParagraph"/>
      </w:pPr>
      <w:r>
        <w:t xml:space="preserve">The practice equipped its examination rooms with automated retinal cameras capable of capturing high-resolution images of the retina. These images are processed by an FDA and TGA-approved artificial intelligence algorithm designed to screen for diabetic retinopathy, macular edema, and glaucoma. This technology allows the</w:t>
      </w:r>
      <w:r>
        <w:t xml:space="preserve"> </w:t>
      </w:r>
      <w:r>
        <w:rPr>
          <w:bCs/>
          <w:b/>
        </w:rPr>
        <w:t xml:space="preserve">Ophthalmologist</w:t>
      </w:r>
      <w:r>
        <w:t xml:space="preserve"> </w:t>
      </w:r>
      <w:r>
        <w:t xml:space="preserve">to triage patients more efficiently, prioritizing those with immediate risks while managing stable conditions remotely.</w:t>
      </w:r>
    </w:p>
    <w:bookmarkEnd w:id="23"/>
    <w:bookmarkStart w:id="24" w:name="telehealth-expansion"/>
    <w:p>
      <w:pPr>
        <w:pStyle w:val="Heading3"/>
      </w:pPr>
      <w:r>
        <w:t xml:space="preserve">4.2 Telehealth Expansion</w:t>
      </w:r>
    </w:p>
    <w:p>
      <w:pPr>
        <w:pStyle w:val="FirstParagraph"/>
      </w:pPr>
      <w:r>
        <w:t xml:space="preserve">Leveraging recent changes in Australian telehealth rebates, the clinic introduced a hybrid care model. Post-operative follow-ups and routine monitoring for stable glaucoma patients were conducted via secure video consultation platforms compliant with the Privacy Act 1988 (Cth). This significantly reduced physical foot traffic in the clinic, allowing more resources to be dedicated to acute cases requiring hands-on intervention.</w:t>
      </w:r>
    </w:p>
    <w:bookmarkEnd w:id="24"/>
    <w:bookmarkStart w:id="25" w:name="multilingual-patient-engagement-tools"/>
    <w:p>
      <w:pPr>
        <w:pStyle w:val="Heading3"/>
      </w:pPr>
      <w:r>
        <w:t xml:space="preserve">4.3 Multilingual Patient Engagement Tools</w:t>
      </w:r>
    </w:p>
    <w:p>
      <w:pPr>
        <w:pStyle w:val="FirstParagraph"/>
      </w:pPr>
      <w:r>
        <w:t xml:space="preserve">Recognizing Sydney’s diversity, the clinic developed an interactive patient portal accessible via mobile devices. This portal provides educational materials in over 10 languages commonly spoken in the region, including Mandarin, Arabic, Vietnamese, and Hindi. The tools include animated videos explaining procedures like cataract surgery and laser treatments, ensuring that patients from all backgrounds receive clear instructions.</w:t>
      </w:r>
    </w:p>
    <w:bookmarkEnd w:id="25"/>
    <w:bookmarkEnd w:id="26"/>
    <w:bookmarkStart w:id="27" w:name="results-and-impact-analysis"/>
    <w:p>
      <w:pPr>
        <w:pStyle w:val="Heading2"/>
      </w:pPr>
      <w:r>
        <w:t xml:space="preserve">5. Results and Impact Analysis</w:t>
      </w:r>
    </w:p>
    <w:p>
      <w:pPr>
        <w:pStyle w:val="FirstParagraph"/>
      </w:pPr>
      <w:r>
        <w:t xml:space="preserve">After twelve months of implementation, the data collected from the practice in</w:t>
      </w:r>
      <w:r>
        <w:t xml:space="preserve"> </w:t>
      </w:r>
      <w:r>
        <w:rPr>
          <w:bCs/>
          <w:b/>
        </w:rPr>
        <w:t xml:space="preserve">Australia Sydney</w:t>
      </w:r>
      <w:r>
        <w:t xml:space="preserve"> </w:t>
      </w:r>
      <w:r>
        <w:t xml:space="preserve">demonstrated significant improvements across key performance indicators.</w:t>
      </w:r>
    </w:p>
    <w:p>
      <w:pPr>
        <w:pStyle w:val="BodyText"/>
      </w:pPr>
      <w:r>
        <w:t xml:space="preserve">"The integration of AI has not replaced the skill of our Ophthalmologist but rather amplified their capabilities, allowing for more precise and timely interventions." - Dr. Sarah Jenkins, Lead Ophthalmologist.</w:t>
      </w:r>
    </w:p>
    <w:p>
      <w:pPr>
        <w:numPr>
          <w:ilvl w:val="0"/>
          <w:numId w:val="1002"/>
        </w:numPr>
        <w:pStyle w:val="Compact"/>
      </w:pPr>
      <w:r>
        <w:rPr>
          <w:bCs/>
          <w:b/>
        </w:rPr>
        <w:t xml:space="preserve">Reduced Wait Times:</w:t>
      </w:r>
      <w:r>
        <w:t xml:space="preserve"> </w:t>
      </w:r>
      <w:r>
        <w:t xml:space="preserve">The average wait time for an initial consultation dropped from six weeks to four weeks. Urgent cases were seen within 48 hours.</w:t>
      </w:r>
    </w:p>
    <w:p>
      <w:pPr>
        <w:numPr>
          <w:ilvl w:val="0"/>
          <w:numId w:val="1002"/>
        </w:numPr>
        <w:pStyle w:val="Compact"/>
      </w:pPr>
      <w:r>
        <w:rPr>
          <w:bCs/>
          <w:b/>
        </w:rPr>
        <w:t xml:space="preserve">Earned Revenue Growth:</w:t>
      </w:r>
      <w:r>
        <w:t xml:space="preserve"> </w:t>
      </w:r>
      <w:r>
        <w:t xml:space="preserve">Through increased patient throughput and reduced no-show rates (due to automated SMS reminders), the clinic saw a 15% increase in net revenue without increasing staff headcount.</w:t>
      </w:r>
    </w:p>
    <w:p>
      <w:pPr>
        <w:numPr>
          <w:ilvl w:val="0"/>
          <w:numId w:val="1002"/>
        </w:numPr>
        <w:pStyle w:val="Compact"/>
      </w:pPr>
      <w:r>
        <w:rPr>
          <w:bCs/>
          <w:b/>
        </w:rPr>
        <w:t xml:space="preserve">Detection Rates:</w:t>
      </w:r>
      <w:r>
        <w:t xml:space="preserve"> </w:t>
      </w:r>
      <w:r>
        <w:t xml:space="preserve">Early detection of diabetic retinopathy improved by 25%, attributed to the AI screening tool flagging anomalies that might have been missed during routine manual review.</w:t>
      </w:r>
    </w:p>
    <w:p>
      <w:pPr>
        <w:numPr>
          <w:ilvl w:val="0"/>
          <w:numId w:val="1002"/>
        </w:numPr>
        <w:pStyle w:val="Compact"/>
      </w:pPr>
      <w:r>
        <w:rPr>
          <w:bCs/>
          <w:b/>
        </w:rPr>
        <w:t xml:space="preserve">Patient Satisfaction:</w:t>
      </w:r>
      <w:r>
        <w:t xml:space="preserve"> </w:t>
      </w:r>
      <w:r>
        <w:t xml:space="preserve">Net Promoter Scores (NPS) rose from 72 to 88. Patients particularly praised the multilingual resources and the convenience of telehealth follow-ups.</w:t>
      </w:r>
    </w:p>
    <w:bookmarkEnd w:id="27"/>
    <w:bookmarkStart w:id="28" w:name="challenges-and-regulatory-considerations"/>
    <w:p>
      <w:pPr>
        <w:pStyle w:val="Heading2"/>
      </w:pPr>
      <w:r>
        <w:t xml:space="preserve">6. Challenges and Regulatory Considerations</w:t>
      </w:r>
    </w:p>
    <w:p>
      <w:pPr>
        <w:pStyle w:val="FirstParagraph"/>
      </w:pPr>
      <w:r>
        <w:t xml:space="preserve">Navigating the healthcare landscape in</w:t>
      </w:r>
      <w:r>
        <w:t xml:space="preserve"> </w:t>
      </w:r>
      <w:r>
        <w:rPr>
          <w:bCs/>
          <w:b/>
        </w:rPr>
        <w:t xml:space="preserve">Australia Sydney</w:t>
      </w:r>
      <w:r>
        <w:t xml:space="preserve"> </w:t>
      </w:r>
      <w:r>
        <w:t xml:space="preserve">requires strict adherence to national standards. The implementation process faced hurdles regarding data privacy compliance. Ensuring that all telehealth data remained within Australian servers was mandatory under the My Health Records Act. Additionally, obtaining professional indemnity insurance coverage for AI-assisted diagnoses required extensive negotiation with insurers to define liability boundaries between the</w:t>
      </w:r>
      <w:r>
        <w:t xml:space="preserve"> </w:t>
      </w:r>
      <w:r>
        <w:rPr>
          <w:bCs/>
          <w:b/>
        </w:rPr>
        <w:t xml:space="preserve">Ophthalmologist</w:t>
      </w:r>
      <w:r>
        <w:t xml:space="preserve"> </w:t>
      </w:r>
      <w:r>
        <w:t xml:space="preserve">and the software provider.</w:t>
      </w:r>
    </w:p>
    <w:p>
      <w:pPr>
        <w:pStyle w:val="BodyText"/>
      </w:pPr>
      <w:r>
        <w:t xml:space="preserve">Furthermore, resistance from older patients who were less tech-savvy was observed. To mitigate this, dedicated "digital navigators" were hired to assist elderly patients in setting up their devices and understanding the new system, ensuring equitable access to care regardless of technological proficiency.</w:t>
      </w:r>
    </w:p>
    <w:bookmarkEnd w:id="28"/>
    <w:bookmarkStart w:id="29" w:name="lessons-learned"/>
    <w:p>
      <w:pPr>
        <w:pStyle w:val="Heading2"/>
      </w:pPr>
      <w:r>
        <w:t xml:space="preserve">7. Lessons Learned</w:t>
      </w:r>
    </w:p>
    <w:p>
      <w:pPr>
        <w:pStyle w:val="FirstParagraph"/>
      </w:pPr>
      <w:r>
        <w:t xml:space="preserve">This case study highlights that successful adoption of technology by an</w:t>
      </w:r>
      <w:r>
        <w:t xml:space="preserve"> </w:t>
      </w:r>
      <w:r>
        <w:rPr>
          <w:bCs/>
          <w:b/>
        </w:rPr>
        <w:t xml:space="preserve">Ophthalmologist</w:t>
      </w:r>
      <w:r>
        <w:t xml:space="preserve"> </w:t>
      </w:r>
      <w:r>
        <w:t xml:space="preserve">in a major urban center like</w:t>
      </w:r>
      <w:r>
        <w:t xml:space="preserve"> </w:t>
      </w:r>
      <w:r>
        <w:rPr>
          <w:bCs/>
          <w:b/>
        </w:rPr>
        <w:t xml:space="preserve">Australia Sydney</w:t>
      </w:r>
      <w:r>
        <w:t xml:space="preserve"> </w:t>
      </w:r>
      <w:r>
        <w:t xml:space="preserve">is not merely about installing new software. It requires a holistic approach that includes staff training, patient education, and strict regulatory compliance. The human element remains paramount; technology serves as an enabler, but the clinical judgment of the specialist is irreplaceable.</w:t>
      </w:r>
    </w:p>
    <w:p>
      <w:pPr>
        <w:pStyle w:val="BodyText"/>
      </w:pPr>
      <w:r>
        <w:t xml:space="preserve">Moreover, understanding the local demographic nuances of Sydney was crucial. A one-size-fits-all digital solution failed initially until it was localized with language support and culturally sensitive communication methods.</w:t>
      </w:r>
    </w:p>
    <w:bookmarkEnd w:id="29"/>
    <w:bookmarkStart w:id="30" w:name="conclusion-and-future-outlook"/>
    <w:p>
      <w:pPr>
        <w:pStyle w:val="Heading2"/>
      </w:pPr>
      <w:r>
        <w:t xml:space="preserve">8. Conclusion and Future Outlook</w:t>
      </w:r>
    </w:p>
    <w:p>
      <w:pPr>
        <w:pStyle w:val="FirstParagraph"/>
      </w:pPr>
      <w:r>
        <w:t xml:space="preserve">The transformation of this ophthalmology practice in</w:t>
      </w:r>
      <w:r>
        <w:t xml:space="preserve"> </w:t>
      </w:r>
      <w:r>
        <w:rPr>
          <w:bCs/>
          <w:b/>
        </w:rPr>
        <w:t xml:space="preserve">Australia Sydney</w:t>
      </w:r>
      <w:r>
        <w:t xml:space="preserve"> </w:t>
      </w:r>
      <w:r>
        <w:t xml:space="preserve">serves as a blueprint for modern eye care delivery. By embracing innovation, the clinic has improved efficiency, patient satisfaction, and clinical outcomes. Looking forward, the integration of predictive analytics may further refine risk profiling for AMD and glaucoma.</w:t>
      </w:r>
    </w:p>
    <w:p>
      <w:pPr>
        <w:pStyle w:val="BodyText"/>
      </w:pPr>
      <w:r>
        <w:t xml:space="preserve">For other healthcare providers aiming to replicate this success in</w:t>
      </w:r>
      <w:r>
        <w:t xml:space="preserve"> </w:t>
      </w:r>
      <w:r>
        <w:rPr>
          <w:bCs/>
          <w:b/>
        </w:rPr>
        <w:t xml:space="preserve">Australia Sydney</w:t>
      </w:r>
      <w:r>
        <w:t xml:space="preserve">, the key takeaways are: prioritize seamless interoperability between AI tools and electronic medical records, invest heavily in patient digital literacy support, and maintain a steadfast focus on regulatory compliance within the Australian health framework. The future of ophthalmology lies not just in better lenses or lasers, but in smarter, more connected systems that empower both the</w:t>
      </w:r>
      <w:r>
        <w:t xml:space="preserve"> </w:t>
      </w:r>
      <w:r>
        <w:rPr>
          <w:bCs/>
          <w:b/>
        </w:rPr>
        <w:t xml:space="preserve">Ophthalmologist</w:t>
      </w:r>
      <w:r>
        <w:t xml:space="preserve"> </w:t>
      </w:r>
      <w:r>
        <w:t xml:space="preserve">and the patient.</w:t>
      </w:r>
    </w:p>
    <w:p>
      <w:r>
        <w:pict>
          <v:rect style="width:0;height:1.5pt" o:hralign="center" o:hrstd="t" o:hr="t"/>
        </w:pict>
      </w:r>
    </w:p>
    <w:p>
      <w:pPr>
        <w:pStyle w:val="FirstParagraph"/>
      </w:pPr>
      <w:r>
        <w:rPr>
          <w:iCs/>
          <w:i/>
        </w:rPr>
        <w:t xml:space="preserve">This document is for informational purposes only and does not constitute medical advice. All case study details are based on aggregated data from simulated scenarios reflecting real-world trends in Australian healthcare.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Ophthalmological Care in Australia Sydney</dc:title>
  <dc:creator/>
  <dc:language>en</dc:language>
  <cp:keywords/>
  <dcterms:created xsi:type="dcterms:W3CDTF">2026-07-29T15:24:03Z</dcterms:created>
  <dcterms:modified xsi:type="dcterms:W3CDTF">2026-07-29T15:24:03Z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