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Bangladesh</w:t>
      </w:r>
      <w:r>
        <w:t xml:space="preserve"> </w:t>
      </w:r>
      <w:r>
        <w:t xml:space="preserve">Dhaka</w:t>
      </w:r>
    </w:p>
    <w:bookmarkStart w:id="31" w:name="X3746e4505735a93d998ae41901d68cff78f2a76"/>
    <w:p>
      <w:pPr>
        <w:pStyle w:val="Heading1"/>
      </w:pPr>
      <w:r>
        <w:t xml:space="preserve">Case Study: Establishing a Comprehensive Ophthalmologist Service Model in Bangladesh Dhaka</w:t>
      </w:r>
    </w:p>
    <w:p>
      <w:pPr>
        <w:pStyle w:val="FirstParagraph"/>
      </w:pPr>
      <w:r>
        <w:rPr>
          <w:bCs/>
          <w:b/>
        </w:rPr>
        <w:t xml:space="preserve">Date:</w:t>
      </w:r>
      <w:r>
        <w:t xml:space="preserve"> </w:t>
      </w:r>
      <w:r>
        <w:t xml:space="preserve">October 26, 2023</w:t>
      </w:r>
      <w:r>
        <w:br/>
      </w:r>
      <w:r>
        <w:rPr>
          <w:bCs/>
          <w:b/>
        </w:rPr>
        <w:t xml:space="preserve">Subject:</w:t>
      </w:r>
      <w:r>
        <w:t xml:space="preserve">The integration of advanced ophthalmologist services within the high-density urban landscape of Bangladesh Dhaka.</w:t>
      </w:r>
      <w:r>
        <w:br/>
      </w:r>
      <w:r>
        <w:rPr>
          <w:bCs/>
          <w:b/>
        </w:rPr>
        <w:t xml:space="preserve">Status:</w:t>
      </w:r>
      <w:r>
        <w:t xml:space="preserve"> </w:t>
      </w:r>
      <w:r>
        <w:t xml:space="preserve">Completed / Analysis Phase.</w:t>
      </w:r>
    </w:p>
    <w:bookmarkStart w:id="20" w:name="executive-summary"/>
    <w:p>
      <w:pPr>
        <w:pStyle w:val="Heading2"/>
      </w:pPr>
      <w:r>
        <w:t xml:space="preserve">1. Executive Summary</w:t>
      </w:r>
    </w:p>
    <w:p>
      <w:pPr>
        <w:pStyle w:val="FirstParagraph"/>
      </w:pPr>
      <w:r>
        <w:t xml:space="preserve">Bangladesh, particularly its capital city Dhaka, presents a unique and challenging environment for healthcare delivery. With one of the highest population densities in the world, urban centers face significant strain on public health infrastructure. This case study examines the implementation of a specialized</w:t>
      </w:r>
      <w:r>
        <w:t xml:space="preserve"> </w:t>
      </w:r>
      <w:r>
        <w:rPr>
          <w:bCs/>
          <w:b/>
        </w:rPr>
        <w:t xml:space="preserve">Ophthalmologist</w:t>
      </w:r>
      <w:r>
        <w:t xml:space="preserve"> </w:t>
      </w:r>
      <w:r>
        <w:t xml:space="preserve">care model designed specifically to address the rising prevalence of eye diseases such as cataracts, glaucoma, diabetic retinopathy, and trachoma within</w:t>
      </w:r>
      <w:r>
        <w:t xml:space="preserve"> </w:t>
      </w:r>
      <w:r>
        <w:rPr>
          <w:bCs/>
          <w:b/>
        </w:rPr>
        <w:t xml:space="preserve">Bangladesh Dhaka</w:t>
      </w:r>
      <w:r>
        <w:t xml:space="preserve">. The primary objective was to create a sustainable, accessible, and high-quality eye care system that bridges the gap between international standards of medical excellence and the economic realities of the local population.</w:t>
      </w:r>
    </w:p>
    <w:bookmarkEnd w:id="20"/>
    <w:bookmarkStart w:id="21" w:name="Xfafa9eb2fa150bdbe0972e59d8dc8304329faae"/>
    <w:p>
      <w:pPr>
        <w:pStyle w:val="Heading2"/>
      </w:pPr>
      <w:r>
        <w:t xml:space="preserve">2. Background and Context: The Landscape in Bangladesh Dhaka</w:t>
      </w:r>
    </w:p>
    <w:p>
      <w:pPr>
        <w:pStyle w:val="FirstParagraph"/>
      </w:pPr>
      <w:r>
        <w:t xml:space="preserve">Dhaka is a megacity with a population exceeding 10 million people, projected to grow significantly in the coming decade. The rapid urbanization has led to several environmental and lifestyle factors that impact public health, including air pollution, sedentary lifestyles, and poor nutrition. These factors have contributed to a sharp increase in non-communicable diseases (NCDs), with eye disorders ranking among the top causes of morbidity.</w:t>
      </w:r>
    </w:p>
    <w:p>
      <w:pPr>
        <w:pStyle w:val="BodyText"/>
      </w:pPr>
      <w:r>
        <w:t xml:space="preserve">In</w:t>
      </w:r>
      <w:r>
        <w:t xml:space="preserve"> </w:t>
      </w:r>
      <w:r>
        <w:rPr>
          <w:bCs/>
          <w:b/>
        </w:rPr>
        <w:t xml:space="preserve">Bangladesh Dhaka</w:t>
      </w:r>
      <w:r>
        <w:t xml:space="preserve">, the healthcare system is characterized by a mix of public hospitals, private clinics, and charitable institutions. While specialized tertiary care exists in major government hospitals like Dhaka Medical College Hospital (DMCH), these facilities are often overwhelmed with patients, leading to long wait times and reduced quality of individual patient care. Conversely, the private sector offers superior infrastructure but is often prohibitively expensive for the average citizen.</w:t>
      </w:r>
    </w:p>
    <w:p>
      <w:pPr>
        <w:pStyle w:val="BodyText"/>
      </w:pPr>
      <w:r>
        <w:t xml:space="preserve">The role of a qualified</w:t>
      </w:r>
      <w:r>
        <w:t xml:space="preserve"> </w:t>
      </w:r>
      <w:r>
        <w:rPr>
          <w:bCs/>
          <w:b/>
        </w:rPr>
        <w:t xml:space="preserve">Ophthalmologist</w:t>
      </w:r>
      <w:r>
        <w:t xml:space="preserve"> </w:t>
      </w:r>
      <w:r>
        <w:t xml:space="preserve">in this context is not merely clinical; it requires a multidisciplinary approach involving public health education, affordable technology deployment, and efficient patient management systems. The lack of specialized eye care professionals in suburban areas of Dhaka further exacerbates the issue, forcing residents to travel long distances for basic consultations.</w:t>
      </w:r>
    </w:p>
    <w:bookmarkEnd w:id="21"/>
    <w:bookmarkStart w:id="22" w:name="problem-statement"/>
    <w:p>
      <w:pPr>
        <w:pStyle w:val="Heading2"/>
      </w:pPr>
      <w:r>
        <w:t xml:space="preserve">3. Problem Statement</w:t>
      </w:r>
    </w:p>
    <w:p>
      <w:pPr>
        <w:pStyle w:val="FirstParagraph"/>
      </w:pPr>
      <w:r>
        <w:t xml:space="preserve">The core problems identified in the initial assessment phase were:</w:t>
      </w:r>
    </w:p>
    <w:p>
      <w:pPr>
        <w:numPr>
          <w:ilvl w:val="0"/>
          <w:numId w:val="1001"/>
        </w:numPr>
        <w:pStyle w:val="Compact"/>
      </w:pPr>
      <w:r>
        <w:rPr>
          <w:bCs/>
          <w:b/>
        </w:rPr>
        <w:t xml:space="preserve">Accessibility Gap:</w:t>
      </w:r>
    </w:p>
    <w:p>
      <w:pPr>
        <w:numPr>
          <w:ilvl w:val="0"/>
          <w:numId w:val="1001"/>
        </w:numPr>
        <w:pStyle w:val="Compact"/>
      </w:pPr>
      <w:r>
        <w:rPr>
          <w:bCs/>
          <w:b/>
        </w:rPr>
        <w:t xml:space="preserve">Economic Barriers:</w:t>
      </w:r>
    </w:p>
    <w:p>
      <w:pPr>
        <w:numPr>
          <w:ilvl w:val="0"/>
          <w:numId w:val="1001"/>
        </w:numPr>
        <w:pStyle w:val="Compact"/>
      </w:pPr>
      <w:r>
        <w:rPr>
          <w:bCs/>
          <w:b/>
        </w:rPr>
        <w:t xml:space="preserve">Diagnostic Delay:</w:t>
      </w:r>
    </w:p>
    <w:p>
      <w:pPr>
        <w:numPr>
          <w:ilvl w:val="0"/>
          <w:numId w:val="1001"/>
        </w:numPr>
        <w:pStyle w:val="Compact"/>
      </w:pPr>
      <w:r>
        <w:rPr>
          <w:bCs/>
          <w:b/>
        </w:rPr>
        <w:t xml:space="preserve">Traffic and Logistics:</w:t>
      </w:r>
    </w:p>
    <w:bookmarkEnd w:id="22"/>
    <w:bookmarkStart w:id="27" w:name="methodology-and-implementation-strategy"/>
    <w:p>
      <w:pPr>
        <w:pStyle w:val="Heading2"/>
      </w:pPr>
      <w:r>
        <w:t xml:space="preserve">4. Methodology and Implementation Strategy</w:t>
      </w:r>
    </w:p>
    <w:p>
      <w:pPr>
        <w:pStyle w:val="FirstParagraph"/>
      </w:pPr>
      <w:r>
        <w:t xml:space="preserve">To address these challenges, a hybrid healthcare model was proposed and implemented. This model leverages the expertise of senior</w:t>
      </w:r>
      <w:r>
        <w:t xml:space="preserve"> </w:t>
      </w:r>
      <w:r>
        <w:rPr>
          <w:bCs/>
          <w:b/>
        </w:rPr>
        <w:t xml:space="preserve">Ophthalmologist</w:t>
      </w:r>
      <w:r>
        <w:t xml:space="preserve">s while utilizing decentralized care units and telemedicine to extend reach across</w:t>
      </w:r>
      <w:r>
        <w:t xml:space="preserve"> </w:t>
      </w:r>
      <w:r>
        <w:rPr>
          <w:bCs/>
          <w:b/>
        </w:rPr>
        <w:t xml:space="preserve">Bangladesh Dhaka</w:t>
      </w:r>
      <w:r>
        <w:t xml:space="preserve">.</w:t>
      </w:r>
    </w:p>
    <w:bookmarkStart w:id="23" w:name="establishment-of-satellite-clinics"/>
    <w:p>
      <w:pPr>
        <w:pStyle w:val="Heading3"/>
      </w:pPr>
      <w:r>
        <w:t xml:space="preserve">4.1. Establishment of Satellite Clinics</w:t>
      </w:r>
    </w:p>
    <w:p>
      <w:pPr>
        <w:pStyle w:val="FirstParagraph"/>
      </w:pPr>
      <w:r>
        <w:t xml:space="preserve">We established four satellite clinics in different divisions of Dhaka (Uttara, Mirpur, Dhanmondi, and Uttomoni). Each clinic was equipped with standard diagnostic tools such as slit lamps, tonometers for intraocular pressure measurement, and fundus cameras. These centers served as the first point of contact for patients.</w:t>
      </w:r>
    </w:p>
    <w:bookmarkEnd w:id="23"/>
    <w:bookmarkStart w:id="24" w:name="the-hub-and-spoke-model"/>
    <w:p>
      <w:pPr>
        <w:pStyle w:val="Heading3"/>
      </w:pPr>
      <w:r>
        <w:t xml:space="preserve">4.2. The Hub-and-Spoke Model</w:t>
      </w:r>
    </w:p>
    <w:p>
      <w:pPr>
        <w:pStyle w:val="FirstParagraph"/>
      </w:pPr>
      <w:r>
        <w:t xml:space="preserve">A central tertiary care center was designated as the "Hub," staffed by senior</w:t>
      </w:r>
      <w:r>
        <w:t xml:space="preserve"> </w:t>
      </w:r>
      <w:r>
        <w:rPr>
          <w:bCs/>
          <w:b/>
        </w:rPr>
        <w:t xml:space="preserve">Ophthalmologist</w:t>
      </w:r>
      <w:r>
        <w:t xml:space="preserve">s specializing in retinal diseases, corneal transplants, and pediatric ophthalmology. The satellite clinics acted as "Spokes." General practitioners and optometrists at the spokes conducted initial screenings. Patients requiring specialized intervention were referred to the Hub via a streamlined digital referral system.</w:t>
      </w:r>
    </w:p>
    <w:bookmarkEnd w:id="24"/>
    <w:bookmarkStart w:id="25" w:name="tele-ophthalmology-integration"/>
    <w:p>
      <w:pPr>
        <w:pStyle w:val="Heading3"/>
      </w:pPr>
      <w:r>
        <w:t xml:space="preserve">4.3. Tele-Ophthalmology Integration</w:t>
      </w:r>
    </w:p>
    <w:p>
      <w:pPr>
        <w:pStyle w:val="FirstParagraph"/>
      </w:pPr>
      <w:r>
        <w:t xml:space="preserve">To mitigate traffic issues and improve follow-up compliance, tele-ophthalmology was integrated into the workflow. Post-operative check-ups and routine monitoring for chronic conditions like diabetic retinopathy were conducted via video consultation where clinically appropriate. This innovation proved particularly effective in the context of Dhaka's logistical challenges.</w:t>
      </w:r>
    </w:p>
    <w:bookmarkEnd w:id="25"/>
    <w:bookmarkStart w:id="26" w:name="community-screening-camps"/>
    <w:p>
      <w:pPr>
        <w:pStyle w:val="Heading3"/>
      </w:pPr>
      <w:r>
        <w:t xml:space="preserve">4.4. Community Screening Camps</w:t>
      </w:r>
    </w:p>
    <w:p>
      <w:pPr>
        <w:pStyle w:val="FirstParagraph"/>
      </w:pPr>
      <w:r>
        <w:t xml:space="preserve">A significant component of the strategy involved conducting mass screening camps in collaboration with local community organizations and corporate social responsibility (CSR) initiatives of major banks and telecom companies in Dhaka. These camps focused on early detection, particularly among high-risk groups such as diabetics and the elderly.</w:t>
      </w:r>
    </w:p>
    <w:bookmarkEnd w:id="26"/>
    <w:bookmarkEnd w:id="27"/>
    <w:bookmarkStart w:id="28" w:name="results-and-impact-analysis"/>
    <w:p>
      <w:pPr>
        <w:pStyle w:val="Heading2"/>
      </w:pPr>
      <w:r>
        <w:t xml:space="preserve">5. Results and Impact Analysis</w:t>
      </w:r>
    </w:p>
    <w:p>
      <w:pPr>
        <w:pStyle w:val="FirstParagraph"/>
      </w:pPr>
      <w:r>
        <w:t xml:space="preserve">The pilot program ran for 18 months. The following key performance indicators (KPIs) were tracked to measure success:</w:t>
      </w:r>
    </w:p>
    <w:p>
      <w:pPr>
        <w:pStyle w:val="BodyText"/>
      </w:pPr>
      <w:r>
        <w:t xml:space="preserve">Metric</w:t>
      </w:r>
    </w:p>
    <w:p>
      <w:pPr>
        <w:pStyle w:val="BodyText"/>
      </w:pPr>
      <w:r>
        <w:t xml:space="preserve">Baseline (Pre-Implementation)</w:t>
      </w:r>
    </w:p>
    <w:p>
      <w:pPr>
        <w:pStyle w:val="BodyText"/>
      </w:pPr>
      <w:r>
        <w:t xml:space="preserve">Pilot Phase Results</w:t>
      </w:r>
    </w:p>
    <w:p>
      <w:pPr>
        <w:pStyle w:val="BodyText"/>
      </w:pPr>
      <w:r>
        <w:t xml:space="preserve">% Improvement</w:t>
      </w:r>
    </w:p>
    <w:p>
      <w:pPr>
        <w:pStyle w:val="BodyText"/>
      </w:pPr>
      <w:r>
        <w:t xml:space="preserve">Average Patient Wait Time for Consultation</w:t>
      </w:r>
    </w:p>
    <w:p>
      <w:pPr>
        <w:pStyle w:val="BodyText"/>
      </w:pPr>
      <w:r>
        <w:t xml:space="preserve">The implementation of this model demonstrated that a structured approach to deploying</w:t>
      </w:r>
      <w:r>
        <w:t xml:space="preserve"> </w:t>
      </w:r>
      <w:r>
        <w:rPr>
          <w:bCs/>
          <w:b/>
        </w:rPr>
        <w:t xml:space="preserve">Ophthalmologist</w:t>
      </w:r>
      <w:r>
        <w:t xml:space="preserve"> </w:t>
      </w:r>
      <w:r>
        <w:t xml:space="preserve">services can significantly improve outcomes in dense urban environments. In</w:t>
      </w:r>
      <w:r>
        <w:t xml:space="preserve"> </w:t>
      </w:r>
      <w:r>
        <w:rPr>
          <w:bCs/>
          <w:b/>
        </w:rPr>
        <w:t xml:space="preserve">Bangladesh Dhaka</w:t>
      </w:r>
      <w:r>
        <w:t xml:space="preserve">, the combination of physical accessibility through satellite clinics and digital accessibility through telemedicine created a resilient healthcare network.</w:t>
      </w:r>
    </w:p>
    <w:bookmarkEnd w:id="28"/>
    <w:bookmarkStart w:id="29" w:name="challenges-encountered"/>
    <w:p>
      <w:pPr>
        <w:pStyle w:val="Heading2"/>
      </w:pPr>
      <w:r>
        <w:t xml:space="preserve">6. Challenges Encountered</w:t>
      </w:r>
    </w:p>
    <w:p>
      <w:pPr>
        <w:pStyle w:val="FirstParagraph"/>
      </w:pPr>
      <w:r>
        <w:t xml:space="preserve">Despite the successes, several challenges persisted:</w:t>
      </w:r>
    </w:p>
    <w:p>
      <w:pPr>
        <w:numPr>
          <w:ilvl w:val="0"/>
          <w:numId w:val="1002"/>
        </w:numPr>
        <w:pStyle w:val="Compact"/>
      </w:pPr>
      <w:r>
        <w:rPr>
          <w:bCs/>
          <w:b/>
        </w:rPr>
        <w:t xml:space="preserve">Data Infrastructure:</w:t>
      </w:r>
    </w:p>
    <w:p>
      <w:pPr>
        <w:numPr>
          <w:ilvl w:val="0"/>
          <w:numId w:val="1002"/>
        </w:numPr>
        <w:pStyle w:val="Compact"/>
      </w:pPr>
      <w:r>
        <w:rPr>
          <w:bCs/>
          <w:b/>
        </w:rPr>
        <w:t xml:space="preserve">Cultural Acceptance:</w:t>
      </w:r>
    </w:p>
    <w:p>
      <w:pPr>
        <w:numPr>
          <w:ilvl w:val="0"/>
          <w:numId w:val="1002"/>
        </w:numPr>
        <w:pStyle w:val="Compact"/>
      </w:pPr>
      <w:r>
        <w:t xml:space="preserve">Supply Chain Consistency:</w:t>
      </w:r>
    </w:p>
    <w:bookmarkEnd w:id="29"/>
    <w:bookmarkStart w:id="30" w:name="conclusion-and-recommendations"/>
    <w:p>
      <w:pPr>
        <w:pStyle w:val="Heading2"/>
      </w:pPr>
      <w:r>
        <w:t xml:space="preserve">7. Conclusion and Recommendations</w:t>
      </w:r>
    </w:p>
    <w:p>
      <w:pPr>
        <w:pStyle w:val="FirstParagraph"/>
      </w:pPr>
      <w:r>
        <w:t xml:space="preserve">This case study highlights the critical importance of adapting healthcare delivery models to local contexts. For an</w:t>
      </w:r>
      <w:r>
        <w:t xml:space="preserve"> </w:t>
      </w:r>
      <w:r>
        <w:rPr>
          <w:bCs/>
          <w:b/>
        </w:rPr>
        <w:t xml:space="preserve">Ophthalmologist</w:t>
      </w:r>
      <w:r>
        <w:t xml:space="preserve">, working in</w:t>
      </w:r>
      <w:r>
        <w:t xml:space="preserve"> </w:t>
      </w:r>
      <w:r>
        <w:rPr>
          <w:bCs/>
          <w:b/>
        </w:rPr>
        <w:t xml:space="preserve">Bangladesh Dhaka</w:t>
      </w:r>
      <w:r>
        <w:t xml:space="preserve"> </w:t>
      </w:r>
      <w:r>
        <w:t xml:space="preserve">requires more than clinical skill; it demands an understanding of urban logistics, economic disparities, and community dynamics.</w:t>
      </w:r>
    </w:p>
    <w:p>
      <w:pPr>
        <w:pStyle w:val="BodyText"/>
      </w:pPr>
      <w:r>
        <w:t xml:space="preserve">The success of this project suggests that a hybrid model—combining centralized specialized care with decentralized screening and telemedicine support—is viable for improving eye health in megacities like Dhaka. Future recommendations include:</w:t>
      </w:r>
    </w:p>
    <w:p>
      <w:pPr>
        <w:pStyle w:val="BodyText"/>
      </w:pPr>
      <w:r>
        <w:rPr>
          <w:bCs/>
          <w:b/>
        </w:rPr>
        <w:t xml:space="preserve">Expansion of Telemedicine:</w:t>
      </w:r>
    </w:p>
    <w:p>
      <w:pPr>
        <w:pStyle w:val="BodyText"/>
      </w:pPr>
      <w:r>
        <w:rPr>
          <w:bCs/>
          <w:b/>
        </w:rPr>
        <w:t xml:space="preserve">Public-Private Partnerships:</w:t>
      </w:r>
      <w:r>
        <w:rPr>
          <w:iCs/>
          <w:i/>
        </w:rPr>
        <w:t xml:space="preserve">This document serves as a reference for healthcare policymakers, medical practitioners, and stakeholders interested in improving ophthalmic services in developing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Bangladesh Dhaka</dc:title>
  <dc:creator/>
  <dc:language>en</dc:language>
  <cp:keywords/>
  <dcterms:created xsi:type="dcterms:W3CDTF">2026-07-29T12:22:56Z</dcterms:created>
  <dcterms:modified xsi:type="dcterms:W3CDTF">2026-07-29T12:22:56Z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