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Ophthalmologist</w:t>
      </w:r>
      <w:r>
        <w:t xml:space="preserve"> </w:t>
      </w:r>
      <w:r>
        <w:t xml:space="preserve">Services</w:t>
      </w:r>
      <w:r>
        <w:t xml:space="preserve"> </w:t>
      </w:r>
      <w:r>
        <w:t xml:space="preserve">in</w:t>
      </w:r>
      <w:r>
        <w:t xml:space="preserve"> </w:t>
      </w:r>
      <w:r>
        <w:t xml:space="preserve">Germany</w:t>
      </w:r>
      <w:r>
        <w:t xml:space="preserve"> </w:t>
      </w:r>
      <w:r>
        <w:t xml:space="preserve">Berlin</w:t>
      </w:r>
    </w:p>
    <w:bookmarkStart w:id="27" w:name="Xa18b058a80c27426649affa0335dbdc764e0e47"/>
    <w:p>
      <w:pPr>
        <w:pStyle w:val="Heading1"/>
      </w:pPr>
      <w:r>
        <w:t xml:space="preserve">Case Study: Advanced Ophthalmologist Services in Germany Berlin</w:t>
      </w:r>
    </w:p>
    <w:p>
      <w:pPr>
        <w:pStyle w:val="FirstParagraph"/>
      </w:pPr>
      <w:r>
        <w:t xml:space="preserve">This comprehensive document examines the evolving landscape of eye care within the bustling metropolis of</w:t>
      </w:r>
      <w:r>
        <w:t xml:space="preserve"> </w:t>
      </w:r>
      <w:r>
        <w:rPr>
          <w:bCs/>
          <w:b/>
        </w:rPr>
        <w:t xml:space="preserve">Germany Berlin</w:t>
      </w:r>
      <w:r>
        <w:t xml:space="preserve">. By analyzing the operational, clinical, and administrative challenges faced by modern clinics, this case study provides a detailed overview of how a specialized</w:t>
      </w:r>
      <w:r>
        <w:t xml:space="preserve"> </w:t>
      </w:r>
      <w:r>
        <w:rPr>
          <w:bCs/>
          <w:b/>
        </w:rPr>
        <w:t xml:space="preserve">Ophthalmologist</w:t>
      </w:r>
      <w:r>
        <w:t xml:space="preserve"> </w:t>
      </w:r>
      <w:r>
        <w:t xml:space="preserve">practice successfully integrated advanced technology with rigorous German healthcare standards to improve patient outcomes.</w:t>
      </w:r>
    </w:p>
    <w:bookmarkStart w:id="20" w:name="Xf76d0d9874a2e24cdda22a3912914b5960263d2"/>
    <w:p>
      <w:pPr>
        <w:pStyle w:val="Heading2"/>
      </w:pPr>
      <w:r>
        <w:t xml:space="preserve">1. Executive Summary and Contextual Background</w:t>
      </w:r>
    </w:p>
    <w:p>
      <w:pPr>
        <w:pStyle w:val="FirstParagraph"/>
      </w:pPr>
      <w:r>
        <w:t xml:space="preserve">The city of</w:t>
      </w:r>
      <w:r>
        <w:t xml:space="preserve"> </w:t>
      </w:r>
      <w:r>
        <w:rPr>
          <w:bCs/>
          <w:b/>
        </w:rPr>
        <w:t xml:space="preserve">Germany Berlin</w:t>
      </w:r>
      <w:r>
        <w:t xml:space="preserve">, characterized by its dense population, diverse demographic mix, and status as a hub for medical tourism, presents unique opportunities and challenges for healthcare providers. Within this dynamic environment, the role of an</w:t>
      </w:r>
      <w:r>
        <w:t xml:space="preserve"> </w:t>
      </w:r>
      <w:r>
        <w:rPr>
          <w:bCs/>
          <w:b/>
        </w:rPr>
        <w:t xml:space="preserve">Ophthalmologist</w:t>
      </w:r>
      <w:r>
        <w:t xml:space="preserve"> </w:t>
      </w:r>
      <w:r>
        <w:t xml:space="preserve">extends far beyond basic vision correction. Patients in Berlin demand high-precision diagnostics for complex conditions such as glaucoma, age-related macular degeneration (AMD), and diabetic retinopathy.</w:t>
      </w:r>
    </w:p>
    <w:p>
      <w:pPr>
        <w:pStyle w:val="BodyText"/>
      </w:pPr>
      <w:r>
        <w:t xml:space="preserve">This case study focuses on a mid-sized specialty clinic located in the Mitte district of</w:t>
      </w:r>
      <w:r>
        <w:t xml:space="preserve"> </w:t>
      </w:r>
      <w:r>
        <w:rPr>
          <w:bCs/>
          <w:b/>
        </w:rPr>
        <w:t xml:space="preserve">Germany Berlin</w:t>
      </w:r>
      <w:r>
        <w:t xml:space="preserve">. The clinic serves a mix of local residents expatriates and international patients seeking second opinions. The primary objective was to modernize their diagnostic workflow, reduce wait times, and enhance patient education regarding preventive eye care in accordance with German federal health regulations.</w:t>
      </w:r>
    </w:p>
    <w:bookmarkEnd w:id="20"/>
    <w:bookmarkStart w:id="21" w:name="problem-statement"/>
    <w:p>
      <w:pPr>
        <w:pStyle w:val="Heading2"/>
      </w:pPr>
      <w:r>
        <w:t xml:space="preserve">2. Problem Statement</w:t>
      </w:r>
    </w:p>
    <w:p>
      <w:pPr>
        <w:pStyle w:val="FirstParagraph"/>
      </w:pPr>
      <w:r>
        <w:t xml:space="preserve">Upon initial assessment, the</w:t>
      </w:r>
      <w:r>
        <w:t xml:space="preserve"> </w:t>
      </w:r>
      <w:r>
        <w:rPr>
          <w:bCs/>
          <w:b/>
        </w:rPr>
        <w:t xml:space="preserve">Ophthalmologist</w:t>
      </w:r>
      <w:r>
        <w:t xml:space="preserve"> </w:t>
      </w:r>
      <w:r>
        <w:t xml:space="preserve">practice faced several critical operational bottlenecks. First, the aging infrastructure of the diagnostic equipment led to inconsistent data quality, particularly in OCT (Optical Coherence Tomography) scans. Second, patient volume had increased by 15% year-over-year due to Berlin’s growing population density, yet staffing levels remained static.</w:t>
      </w:r>
    </w:p>
    <w:p>
      <w:pPr>
        <w:pStyle w:val="BodyText"/>
      </w:pPr>
      <w:r>
        <w:t xml:space="preserve">Furthermore, there was a significant communication gap between the</w:t>
      </w:r>
      <w:r>
        <w:t xml:space="preserve"> </w:t>
      </w:r>
      <w:r>
        <w:rPr>
          <w:bCs/>
          <w:b/>
        </w:rPr>
        <w:t xml:space="preserve">Ophthalmologist</w:t>
      </w:r>
      <w:r>
        <w:t xml:space="preserve"> </w:t>
      </w:r>
      <w:r>
        <w:t xml:space="preserve">and the patients. Many individuals from diverse linguistic backgrounds in</w:t>
      </w:r>
      <w:r>
        <w:t xml:space="preserve"> </w:t>
      </w:r>
      <w:r>
        <w:rPr>
          <w:bCs/>
          <w:b/>
        </w:rPr>
        <w:t xml:space="preserve">Germany Berlin</w:t>
      </w:r>
      <w:r>
        <w:t xml:space="preserve"> </w:t>
      </w:r>
      <w:r>
        <w:t xml:space="preserve">struggled to understand their diagnosis without adequate translation services or visual aids. This lack of clarity often resulted in poor adherence to treatment plans and lower patient satisfaction scores.</w:t>
      </w:r>
    </w:p>
    <w:bookmarkEnd w:id="21"/>
    <w:bookmarkStart w:id="22" w:name="methodology-the-intervention-strategy"/>
    <w:p>
      <w:pPr>
        <w:pStyle w:val="Heading2"/>
      </w:pPr>
      <w:r>
        <w:t xml:space="preserve">3. Methodology: The Intervention Strategy</w:t>
      </w:r>
    </w:p>
    <w:p>
      <w:pPr>
        <w:pStyle w:val="FirstParagraph"/>
      </w:pPr>
      <w:r>
        <w:t xml:space="preserve">To address these challenges, the clinic implemented a three-phase strategy centered on technology integration, staff training, and patient-centric communication protocols.</w:t>
      </w:r>
    </w:p>
    <w:p>
      <w:pPr>
        <w:numPr>
          <w:ilvl w:val="0"/>
          <w:numId w:val="1001"/>
        </w:numPr>
        <w:pStyle w:val="Compact"/>
      </w:pPr>
      <w:r>
        <w:rPr>
          <w:bCs/>
          <w:b/>
        </w:rPr>
        <w:t xml:space="preserve">Technological Upgrade:</w:t>
      </w:r>
      <w:r>
        <w:t xml:space="preserve"> </w:t>
      </w:r>
      <w:r>
        <w:t xml:space="preserve">The</w:t>
      </w:r>
      <w:r>
        <w:t xml:space="preserve"> </w:t>
      </w:r>
      <w:r>
        <w:rPr>
          <w:bCs/>
          <w:b/>
        </w:rPr>
        <w:t xml:space="preserve">Ophthalmologist</w:t>
      </w:r>
      <w:r>
        <w:t xml:space="preserve"> </w:t>
      </w:r>
      <w:r>
        <w:t xml:space="preserve">team invested in state-of-the-art AI-assisted diagnostic tools. These systems allowed for faster analysis of retinal images, enabling earlier detection of pathologies. This was crucial for managing the high prevalence of diabetes-related eye issues common in urban populations.</w:t>
      </w:r>
    </w:p>
    <w:p>
      <w:pPr>
        <w:numPr>
          <w:ilvl w:val="0"/>
          <w:numId w:val="1001"/>
        </w:numPr>
        <w:pStyle w:val="Compact"/>
      </w:pPr>
      <w:r>
        <w:rPr>
          <w:bCs/>
          <w:b/>
        </w:rPr>
        <w:t xml:space="preserve">Process Optimization:</w:t>
      </w:r>
      <w:r>
        <w:t xml:space="preserve"> </w:t>
      </w:r>
      <w:r>
        <w:t xml:space="preserve">The clinic restructured its appointment scheduling system to allocate specific time blocks for complex surgeries and routine check-ups. This ensured that the</w:t>
      </w:r>
      <w:r>
        <w:t xml:space="preserve"> </w:t>
      </w:r>
      <w:r>
        <w:rPr>
          <w:bCs/>
          <w:b/>
        </w:rPr>
        <w:t xml:space="preserve">Ophthalmologist</w:t>
      </w:r>
      <w:r>
        <w:t xml:space="preserve"> </w:t>
      </w:r>
      <w:r>
        <w:t xml:space="preserve">could dedicate sufficient attention to each patient, reducing burnout among medical staff.</w:t>
      </w:r>
    </w:p>
    <w:p>
      <w:pPr>
        <w:numPr>
          <w:ilvl w:val="0"/>
          <w:numId w:val="1001"/>
        </w:numPr>
        <w:pStyle w:val="Compact"/>
      </w:pPr>
      <w:r>
        <w:rPr>
          <w:bCs/>
          <w:b/>
        </w:rPr>
        <w:t xml:space="preserve">Cultural Competence Training:</w:t>
      </w:r>
      <w:r>
        <w:t xml:space="preserve"> </w:t>
      </w:r>
      <w:r>
        <w:t xml:space="preserve">Recognizing Berlin’s international nature, the clinic hired multilingual coordinators. These staff members assisted patients in navigating the complex German insurance system and explained technical medical terms in their native languages.</w:t>
      </w:r>
    </w:p>
    <w:bookmarkEnd w:id="22"/>
    <w:bookmarkStart w:id="23" w:name="implementation-in-germany-berlin"/>
    <w:p>
      <w:pPr>
        <w:pStyle w:val="Heading2"/>
      </w:pPr>
      <w:r>
        <w:t xml:space="preserve">4. Implementation in Germany Berlin</w:t>
      </w:r>
    </w:p>
    <w:p>
      <w:pPr>
        <w:pStyle w:val="FirstParagraph"/>
      </w:pPr>
      <w:r>
        <w:t xml:space="preserve">The implementation phase required strict adherence to</w:t>
      </w:r>
      <w:r>
        <w:t xml:space="preserve"> </w:t>
      </w:r>
      <w:r>
        <w:rPr>
          <w:bCs/>
          <w:b/>
        </w:rPr>
        <w:t xml:space="preserve">Germany Berlin</w:t>
      </w:r>
      <w:r>
        <w:t xml:space="preserve">’s stringent data protection laws (DSGVO/GDPR). The new digital systems were thoroughly vetted to ensure patient confidentiality. This compliance was not merely a legal requirement but a trust-building mechanism for the local community.</w:t>
      </w:r>
    </w:p>
    <w:p>
      <w:pPr>
        <w:pStyle w:val="BodyText"/>
      </w:pPr>
      <w:r>
        <w:t xml:space="preserve">The</w:t>
      </w:r>
      <w:r>
        <w:t xml:space="preserve"> </w:t>
      </w:r>
      <w:r>
        <w:rPr>
          <w:bCs/>
          <w:b/>
        </w:rPr>
        <w:t xml:space="preserve">Ophthalmologist</w:t>
      </w:r>
      <w:r>
        <w:t xml:space="preserve"> </w:t>
      </w:r>
      <w:r>
        <w:t xml:space="preserve">team collaborated with local universities in Berlin to conduct clinical trials on the new diagnostic algorithms. This academic partnership enhanced the credibility of the practice and kept it at the forefront of ophthalmic research in Europe. Regular workshops were held to ensure that all medical personnel were proficient in using the new AI tools effectively.</w:t>
      </w:r>
    </w:p>
    <w:bookmarkEnd w:id="23"/>
    <w:bookmarkStart w:id="24" w:name="results-and-impact-analysis"/>
    <w:p>
      <w:pPr>
        <w:pStyle w:val="Heading2"/>
      </w:pPr>
      <w:r>
        <w:t xml:space="preserve">5. Results and Impact Analysis</w:t>
      </w:r>
    </w:p>
    <w:p>
      <w:pPr>
        <w:pStyle w:val="FirstParagraph"/>
      </w:pPr>
      <w:r>
        <w:t xml:space="preserve">After twelve months of operation, the clinic reported significant improvements across key performance indicators:</w:t>
      </w:r>
    </w:p>
    <w:p>
      <w:pPr>
        <w:numPr>
          <w:ilvl w:val="0"/>
          <w:numId w:val="1002"/>
        </w:numPr>
        <w:pStyle w:val="Compact"/>
      </w:pPr>
      <w:r>
        <w:rPr>
          <w:bCs/>
          <w:b/>
        </w:rPr>
        <w:t xml:space="preserve">Detection Accuracy:</w:t>
      </w:r>
      <w:r>
        <w:t xml:space="preserve"> </w:t>
      </w:r>
      <w:r>
        <w:t xml:space="preserve">The use of AI-assisted diagnostics improved early detection rates of glaucoma by 18%. This proactive approach is vital for an</w:t>
      </w:r>
      <w:r>
        <w:t xml:space="preserve"> </w:t>
      </w:r>
      <w:r>
        <w:rPr>
          <w:bCs/>
          <w:b/>
        </w:rPr>
        <w:t xml:space="preserve">Ophthalmologist</w:t>
      </w:r>
      <w:r>
        <w:t xml:space="preserve"> </w:t>
      </w:r>
      <w:r>
        <w:t xml:space="preserve">aiming to preserve vision long-term.</w:t>
      </w:r>
    </w:p>
    <w:p>
      <w:pPr>
        <w:numPr>
          <w:ilvl w:val="0"/>
          <w:numId w:val="1002"/>
        </w:numPr>
        <w:pStyle w:val="Compact"/>
      </w:pPr>
      <w:r>
        <w:rPr>
          <w:bCs/>
          <w:b/>
        </w:rPr>
        <w:t xml:space="preserve">Patient Satisfaction:</w:t>
      </w:r>
      <w:r>
        <w:t xml:space="preserve"> </w:t>
      </w:r>
      <w:r>
        <w:t xml:space="preserve">Survey results indicated a 25% increase in patient satisfaction scores. Patients appreciated the clarity of explanations provided by the multilingual staff and the shorter wait times for appointments in</w:t>
      </w:r>
      <w:r>
        <w:t xml:space="preserve"> </w:t>
      </w:r>
      <w:r>
        <w:rPr>
          <w:bCs/>
          <w:b/>
        </w:rPr>
        <w:t xml:space="preserve">Germany Berlin</w:t>
      </w:r>
      <w:r>
        <w:t xml:space="preserve">.</w:t>
      </w:r>
    </w:p>
    <w:p>
      <w:pPr>
        <w:numPr>
          <w:ilvl w:val="0"/>
          <w:numId w:val="1002"/>
        </w:numPr>
        <w:pStyle w:val="Compact"/>
      </w:pPr>
      <w:r>
        <w:rPr>
          <w:bCs/>
          <w:b/>
        </w:rPr>
        <w:t xml:space="preserve">Operational Efficiency:</w:t>
      </w:r>
      <w:r>
        <w:t xml:space="preserve"> </w:t>
      </w:r>
      <w:r>
        <w:t xml:space="preserve">The average consultation time decreased by 10 minutes per patient due to streamlined diagnostic workflows, allowing the</w:t>
      </w:r>
      <w:r>
        <w:t xml:space="preserve"> </w:t>
      </w:r>
      <w:r>
        <w:rPr>
          <w:bCs/>
          <w:b/>
        </w:rPr>
        <w:t xml:space="preserve">Ophthalmologist</w:t>
      </w:r>
      <w:r>
        <w:t xml:space="preserve"> </w:t>
      </w:r>
      <w:r>
        <w:t xml:space="preserve">to see more patients without compromising care quality.</w:t>
      </w:r>
    </w:p>
    <w:bookmarkEnd w:id="24"/>
    <w:bookmarkStart w:id="25" w:name="challenges-and-solutions"/>
    <w:p>
      <w:pPr>
        <w:pStyle w:val="Heading2"/>
      </w:pPr>
      <w:r>
        <w:t xml:space="preserve">6. Challenges and Solutions</w:t>
      </w:r>
    </w:p>
    <w:p>
      <w:pPr>
        <w:pStyle w:val="FirstParagraph"/>
      </w:pPr>
      <w:r>
        <w:t xml:space="preserve">The transition was not without obstacles. Initially, some senior medical staff resisted the integration of AI tools, fearing it would replace their expertise. To mitigate this, the</w:t>
      </w:r>
      <w:r>
        <w:t xml:space="preserve"> </w:t>
      </w:r>
      <w:r>
        <w:rPr>
          <w:bCs/>
          <w:b/>
        </w:rPr>
        <w:t xml:space="preserve">Ophthalmologist</w:t>
      </w:r>
      <w:r>
        <w:t xml:space="preserve"> </w:t>
      </w:r>
      <w:r>
        <w:t xml:space="preserve">leadership emphasized that AI serves as an assistive tool rather than a replacement for human judgment.</w:t>
      </w:r>
    </w:p>
    <w:p>
      <w:pPr>
        <w:pStyle w:val="BodyText"/>
      </w:pPr>
      <w:r>
        <w:t xml:space="preserve">Additionally, navigating the bureaucracy of German health insurance providers in</w:t>
      </w:r>
      <w:r>
        <w:t xml:space="preserve"> </w:t>
      </w:r>
      <w:r>
        <w:rPr>
          <w:bCs/>
          <w:b/>
        </w:rPr>
        <w:t xml:space="preserve">Germany Berlin</w:t>
      </w:r>
      <w:r>
        <w:t xml:space="preserve"> </w:t>
      </w:r>
      <w:r>
        <w:t xml:space="preserve">proved challenging. The clinic established a dedicated administrative team to handle pre-approvals and documentation, ensuring that billing processes were seamless and transparent for patients.</w:t>
      </w:r>
    </w:p>
    <w:bookmarkEnd w:id="25"/>
    <w:bookmarkStart w:id="26" w:name="conclusion"/>
    <w:p>
      <w:pPr>
        <w:pStyle w:val="Heading2"/>
      </w:pPr>
      <w:r>
        <w:t xml:space="preserve">7. Conclusion</w:t>
      </w:r>
    </w:p>
    <w:p>
      <w:pPr>
        <w:pStyle w:val="FirstParagraph"/>
      </w:pPr>
      <w:r>
        <w:t xml:space="preserve">This case study demonstrates that a modern</w:t>
      </w:r>
      <w:r>
        <w:t xml:space="preserve"> </w:t>
      </w:r>
      <w:r>
        <w:rPr>
          <w:bCs/>
          <w:b/>
        </w:rPr>
        <w:t xml:space="preserve">Ophthalmologist</w:t>
      </w:r>
      <w:r>
        <w:t xml:space="preserve"> </w:t>
      </w:r>
      <w:r>
        <w:t xml:space="preserve">practice in</w:t>
      </w:r>
      <w:r>
        <w:t xml:space="preserve"> </w:t>
      </w:r>
      <w:r>
        <w:rPr>
          <w:bCs/>
          <w:b/>
        </w:rPr>
        <w:t xml:space="preserve">Germany Berlin</w:t>
      </w:r>
      <w:r>
        <w:t xml:space="preserve"> </w:t>
      </w:r>
      <w:r>
        <w:t xml:space="preserve">must balance technological innovation with compassionate, clear patient communication. By addressing the specific needs of a diverse urban population and adhering to strict regulatory standards, the clinic has set a benchmark for excellence in eye care.</w:t>
      </w:r>
    </w:p>
    <w:p>
      <w:pPr>
        <w:pStyle w:val="BodyText"/>
      </w:pPr>
      <w:r>
        <w:t xml:space="preserve">The success of this initiative highlights the importance of adapting medical services to local contexts. For future growth, the</w:t>
      </w:r>
      <w:r>
        <w:t xml:space="preserve"> </w:t>
      </w:r>
      <w:r>
        <w:rPr>
          <w:bCs/>
          <w:b/>
        </w:rPr>
        <w:t xml:space="preserve">Ophthalmologist</w:t>
      </w:r>
      <w:r>
        <w:t xml:space="preserve"> </w:t>
      </w:r>
      <w:r>
        <w:t xml:space="preserve">team plans to expand telemedicine capabilities, allowing remote consultations for follow-up visits. This step aligns with broader trends in digital health within</w:t>
      </w:r>
      <w:r>
        <w:t xml:space="preserve"> </w:t>
      </w:r>
      <w:r>
        <w:rPr>
          <w:bCs/>
          <w:b/>
        </w:rPr>
        <w:t xml:space="preserve">Germany Berlin</w:t>
      </w:r>
      <w:r>
        <w:t xml:space="preserve">, promising even greater accessibility for residents and visitors alike.</w:t>
      </w:r>
    </w:p>
    <w:p>
      <w:pPr>
        <w:pStyle w:val="BodyText"/>
      </w:pPr>
      <w:r>
        <w:t xml:space="preserve">In conclusion, the integration of advanced technology, rigorous compliance, and patient-centered care has transformed the practice into a leader in ophthalmology. This model serves as a replicable framework for other medical facilities looking to enhance their service delivery in complex urban environments like</w:t>
      </w:r>
      <w:r>
        <w:t xml:space="preserve"> </w:t>
      </w:r>
      <w:r>
        <w:rPr>
          <w:bCs/>
          <w:b/>
        </w:rPr>
        <w:t xml:space="preserve">Germany Berlin</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Ophthalmologist Services in Germany Berlin</dc:title>
  <dc:creator/>
  <dc:language>en</dc:language>
  <cp:keywords/>
  <dcterms:created xsi:type="dcterms:W3CDTF">2026-07-29T15:19:38Z</dcterms:created>
  <dcterms:modified xsi:type="dcterms:W3CDTF">2026-07-29T15:19:38Z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