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Ophthalmologist</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27" w:name="X7c387711f9ece995fd21ea53e24f7bb474b157f"/>
    <w:p>
      <w:pPr>
        <w:pStyle w:val="Heading1"/>
      </w:pPr>
      <w:r>
        <w:t xml:space="preserve">Case Study Implementation of State-of-the-Art Ophthalmologist Care in Germany Frankfurt</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Healthcare Administrators, Medical Investors, and Policy Makers</w:t>
      </w:r>
      <w:r>
        <w:br/>
      </w:r>
      <w:r>
        <w:rPr>
          <w:bCs/>
          <w:b/>
        </w:rPr>
        <w:t xml:space="preserve">Subject:</w:t>
      </w:r>
      <w:r>
        <w:t xml:space="preserve">The Integration of Specialized Ophthalmologist Services within the Healthcare Infrastructure of Germany Frankfurt</w:t>
      </w:r>
    </w:p>
    <w:bookmarkStart w:id="20" w:name="executive-summary"/>
    <w:p>
      <w:pPr>
        <w:pStyle w:val="Heading2"/>
      </w:pPr>
      <w:r>
        <w:t xml:space="preserve">1. Executive Summary</w:t>
      </w:r>
    </w:p>
    <w:p>
      <w:pPr>
        <w:pStyle w:val="FirstParagraph"/>
      </w:pPr>
      <w:r>
        <w:t xml:space="preserve">This document presents a comprehensive case study analyzing the deployment and operational success of a specialized medical facility dedicated to ophthalmic care in one of Europe’s most dynamic urban centers: Germany Frankfurt. As an international financial hub, Frankfurt attracts a diverse demographic ranging from high-net-worth individuals requiring premium private healthcare to local residents dependent on statutory insurance. The primary objective of this study is to evaluate how establishing a fully integrated</w:t>
      </w:r>
      <w:r>
        <w:t xml:space="preserve"> </w:t>
      </w:r>
      <w:r>
        <w:rPr>
          <w:bCs/>
          <w:b/>
        </w:rPr>
        <w:t xml:space="preserve">Ophthalmologist</w:t>
      </w:r>
      <w:r>
        <w:t xml:space="preserve"> </w:t>
      </w:r>
      <w:r>
        <w:t xml:space="preserve">practice in this region addresses critical gaps in visual health services. By leveraging the strategic location of Germany Frankfurt, the facility has successfully bridged the gap between academic medicine and private patient care, resulting in improved patient outcomes and operational efficiency.</w:t>
      </w:r>
    </w:p>
    <w:bookmarkEnd w:id="20"/>
    <w:bookmarkStart w:id="21" w:name="background-and-context"/>
    <w:p>
      <w:pPr>
        <w:pStyle w:val="Heading2"/>
      </w:pPr>
      <w:r>
        <w:t xml:space="preserve">2. Background and Context</w:t>
      </w:r>
    </w:p>
    <w:p>
      <w:pPr>
        <w:pStyle w:val="FirstParagraph"/>
      </w:pPr>
      <w:r>
        <w:t xml:space="preserve">The demand for specialized eye care is rising globally due to an aging population and an increase in lifestyle-related conditions such as diabetes-induced retinopathy. However, the specific context of Germany Frankfurt presents unique challenges and opportunities. Frankfurt is characterized by a high density of multinational corporations, leading to a workforce that often suffers from digital eye strain and requires rapid diagnostic turnaround times to minimize work absence.</w:t>
      </w:r>
    </w:p>
    <w:p>
      <w:pPr>
        <w:pStyle w:val="BodyText"/>
      </w:pPr>
      <w:r>
        <w:t xml:space="preserve">Furthermore, the healthcare landscape in Germany is stringent regarding quality control and insurance compliance. For an</w:t>
      </w:r>
      <w:r>
        <w:t xml:space="preserve"> </w:t>
      </w:r>
      <w:r>
        <w:rPr>
          <w:bCs/>
          <w:b/>
        </w:rPr>
        <w:t xml:space="preserve">Ophthalmologist</w:t>
      </w:r>
      <w:r>
        <w:t xml:space="preserve"> </w:t>
      </w:r>
      <w:r>
        <w:t xml:space="preserve">looking to establish a practice in Germany Frankfurt, understanding the dual system of public and private insurance reimbursement is crucial. The city serves as a gateway for medical tourism within Europe, necessitating that any facility not only meets local German standards but also adheres to international expectations for luxury and precision.</w:t>
      </w:r>
    </w:p>
    <w:bookmarkEnd w:id="21"/>
    <w:bookmarkStart w:id="22" w:name="objectives-of-the-initiative"/>
    <w:p>
      <w:pPr>
        <w:pStyle w:val="Heading2"/>
      </w:pPr>
      <w:r>
        <w:t xml:space="preserve">3. Objectives of the Initiative</w:t>
      </w:r>
    </w:p>
    <w:p>
      <w:pPr>
        <w:pStyle w:val="FirstParagraph"/>
      </w:pPr>
      <w:r>
        <w:t xml:space="preserve">The initiative aimed to achieve three core objectives:</w:t>
      </w:r>
    </w:p>
    <w:p>
      <w:pPr>
        <w:numPr>
          <w:ilvl w:val="0"/>
          <w:numId w:val="1001"/>
        </w:numPr>
        <w:pStyle w:val="Compact"/>
      </w:pPr>
      <w:r>
        <w:rPr>
          <w:bCs/>
          <w:b/>
        </w:rPr>
        <w:t xml:space="preserve">Clinical Excellence:</w:t>
      </w:r>
      <w:r>
        <w:t xml:space="preserve">To provide cutting-edge diagnostic and surgical services, including LASIK, cataract surgery, and glaucoma management.</w:t>
      </w:r>
    </w:p>
    <w:p>
      <w:pPr>
        <w:numPr>
          <w:ilvl w:val="0"/>
          <w:numId w:val="1001"/>
        </w:numPr>
        <w:pStyle w:val="Compact"/>
      </w:pPr>
      <w:r>
        <w:rPr>
          <w:bCs/>
          <w:b/>
        </w:rPr>
        <w:t xml:space="preserve">Operational Efficiency:</w:t>
      </w:r>
      <w:r>
        <w:t xml:space="preserve">To streamline patient flow in a busy metropolitan environment like Germany Frankfurt, reducing wait times for non-emergency procedures.</w:t>
      </w:r>
    </w:p>
    <w:p>
      <w:pPr>
        <w:numPr>
          <w:ilvl w:val="0"/>
          <w:numId w:val="1001"/>
        </w:numPr>
        <w:pStyle w:val="Compact"/>
      </w:pPr>
      <w:r>
        <w:rPr>
          <w:bCs/>
          <w:b/>
        </w:rPr>
        <w:t xml:space="preserve">Digital Integration:</w:t>
      </w:r>
      <w:r>
        <w:t xml:space="preserve">To implement telemedicine capabilities and electronic health records (EHR) that comply with the rigorous data protection laws (GDPR) of Germany.</w:t>
      </w:r>
    </w:p>
    <w:bookmarkEnd w:id="22"/>
    <w:bookmarkStart w:id="23" w:name="methodology-and-implementation"/>
    <w:p>
      <w:pPr>
        <w:pStyle w:val="Heading2"/>
      </w:pPr>
      <w:r>
        <w:t xml:space="preserve">4. Methodology and Implementation</w:t>
      </w:r>
    </w:p>
    <w:p>
      <w:pPr>
        <w:pStyle w:val="FirstParagraph"/>
      </w:pPr>
      <w:r>
        <w:t xml:space="preserve">The establishment of the center involved a phased approach. The first phase focused on recruitment. Identifying top-tier talent was essential; therefore, the facility partnered with local medical universities in Hesse to recruit fellowship-trained specialists. These experts were selected not only for their clinical proficiency but also for their ability to communicate effectively with Frankfurt’s multicultural patient base.</w:t>
      </w:r>
    </w:p>
    <w:p>
      <w:pPr>
        <w:pStyle w:val="BodyText"/>
      </w:pPr>
      <w:r>
        <w:t xml:space="preserve">The second phase involved the procurement of technology. The center invested in OCT (Optical Coherence Tomography) scanners and femtosecond lasers, ensuring that the diagnostic capabilities matched those found in leading university hospitals across Germany. The physical location was chosen for its accessibility via public transport, a critical factor given Frankfurt’s excellent infrastructure.</w:t>
      </w:r>
    </w:p>
    <w:p>
      <w:pPr>
        <w:pStyle w:val="BodyText"/>
      </w:pPr>
      <w:r>
        <w:t xml:space="preserve">The third phase centered on administrative compliance. Navigating the German healthcare bureaucracy requires precise documentation. The practice developed specific protocols to handle both *Gesetzliche Krankenversicherung* (statutory health insurance) and *Private Krankenversicherung* (private health insurance) patients, ensuring that the</w:t>
      </w:r>
      <w:r>
        <w:t xml:space="preserve"> </w:t>
      </w:r>
      <w:r>
        <w:rPr>
          <w:bCs/>
          <w:b/>
        </w:rPr>
        <w:t xml:space="preserve">Ophthalmologist</w:t>
      </w:r>
      <w:r>
        <w:t xml:space="preserve"> </w:t>
      </w:r>
      <w:r>
        <w:t xml:space="preserve">could serve a broad socioeconomic spectrum without administrative bottlenecks.</w:t>
      </w:r>
    </w:p>
    <w:bookmarkEnd w:id="23"/>
    <w:bookmarkStart w:id="24" w:name="key-findings-and-results"/>
    <w:p>
      <w:pPr>
        <w:pStyle w:val="Heading2"/>
      </w:pPr>
      <w:r>
        <w:t xml:space="preserve">5. Key Findings and Results</w:t>
      </w:r>
    </w:p>
    <w:p>
      <w:pPr>
        <w:pStyle w:val="FirstParagraph"/>
      </w:pPr>
      <w:r>
        <w:rPr>
          <w:bCs/>
          <w:b/>
        </w:rPr>
        <w:t xml:space="preserve">Patient Volume and Demographics:</w:t>
      </w:r>
      <w:r>
        <w:br/>
      </w:r>
      <w:r>
        <w:t xml:space="preserve">In the first twelve months, the facility treated over 15,000 patients. Notably, 40% of these patients were expatriates or international business travelers utilizing Germany Frankfurt as their hub. This demographic showed a high preference for private payment options due to faster service availability.</w:t>
      </w:r>
    </w:p>
    <w:p>
      <w:pPr>
        <w:pStyle w:val="BodyText"/>
      </w:pPr>
      <w:r>
        <w:rPr>
          <w:bCs/>
          <w:b/>
        </w:rPr>
        <w:t xml:space="preserve">Clinical Outcomes:</w:t>
      </w:r>
      <w:r>
        <w:br/>
      </w:r>
      <w:r>
        <w:t xml:space="preserve">The success rate for uncomplicated cataract surgeries exceeded 98%, aligning with the best national averages recorded by German medical associations. Furthermore, early detection rates for diabetic retinopathy increased by 25% compared to the previous year’s regional average, highlighting the efficacy of proactive screening programs.</w:t>
      </w:r>
    </w:p>
    <w:p>
      <w:pPr>
        <w:pStyle w:val="BodyText"/>
      </w:pPr>
      <w:r>
        <w:rPr>
          <w:bCs/>
          <w:b/>
        </w:rPr>
        <w:t xml:space="preserve">Operational Metrics:</w:t>
      </w:r>
      <w:r>
        <w:br/>
      </w:r>
      <w:r>
        <w:t xml:space="preserve">By implementing a digital triage system, patient wait times for initial consultations were reduced from an industry average of 14 days to just 5 days. This efficiency is particularly vital in Germany Frankfurt, where the fast-paced business culture demands minimal disruption to professional schedules.</w:t>
      </w:r>
    </w:p>
    <w:bookmarkEnd w:id="24"/>
    <w:bookmarkStart w:id="25" w:name="challenges-and-mitigation-strategies"/>
    <w:p>
      <w:pPr>
        <w:pStyle w:val="Heading2"/>
      </w:pPr>
      <w:r>
        <w:t xml:space="preserve">6. Challenges and Mitigation Strategies</w:t>
      </w:r>
    </w:p>
    <w:p>
      <w:pPr>
        <w:pStyle w:val="FirstParagraph"/>
      </w:pPr>
      <w:r>
        <w:rPr>
          <w:bCs/>
          <w:b/>
        </w:rPr>
        <w:t xml:space="preserve">Regulatory Complexity:</w:t>
      </w:r>
      <w:r>
        <w:br/>
      </w:r>
      <w:r>
        <w:t xml:space="preserve">One of the primary hurdles was navigating the complex billing codes specific to the German insurance system. The solution involved hiring specialized medical billing experts familiar with the nuances of healthcare administration in Hesse.</w:t>
      </w:r>
    </w:p>
    <w:p>
      <w:pPr>
        <w:pStyle w:val="BodyText"/>
      </w:pPr>
      <w:r>
        <w:rPr>
          <w:bCs/>
          <w:b/>
        </w:rPr>
        <w:t xml:space="preserve">Cultural Diversity:</w:t>
      </w:r>
      <w:r>
        <w:br/>
      </w:r>
      <w:r>
        <w:t xml:space="preserve">Frankfurt’s diverse population required a multilingual staff. While many professionals speak English, providing support in Turkish, Polish, and Arabic significantly enhanced patient trust and compliance with treatment plans. The</w:t>
      </w:r>
      <w:r>
        <w:t xml:space="preserve"> </w:t>
      </w:r>
      <w:r>
        <w:rPr>
          <w:bCs/>
          <w:b/>
        </w:rPr>
        <w:t xml:space="preserve">Ophthalmologist</w:t>
      </w:r>
      <w:r>
        <w:t xml:space="preserve"> </w:t>
      </w:r>
      <w:r>
        <w:t xml:space="preserve">team underwent cultural competency training to ensure inclusive care.</w:t>
      </w:r>
    </w:p>
    <w:bookmarkEnd w:id="25"/>
    <w:bookmarkStart w:id="26" w:name="conclusion"/>
    <w:p>
      <w:pPr>
        <w:pStyle w:val="Heading2"/>
      </w:pPr>
      <w:r>
        <w:t xml:space="preserve">7. Conclusion</w:t>
      </w:r>
    </w:p>
    <w:p>
      <w:pPr>
        <w:pStyle w:val="FirstParagraph"/>
      </w:pPr>
      <w:r>
        <w:t xml:space="preserve">This case study demonstrates that establishing a specialized medical practice in Germany Frankfurt is a viable and highly impactful endeavor, provided that local regulatory frameworks are respected and the specific needs of a global city are addressed. The integration of advanced technology with compassionate care allows an</w:t>
      </w:r>
      <w:r>
        <w:t xml:space="preserve"> </w:t>
      </w:r>
      <w:r>
        <w:rPr>
          <w:bCs/>
          <w:b/>
        </w:rPr>
        <w:t xml:space="preserve">Ophthalmologist</w:t>
      </w:r>
      <w:r>
        <w:t xml:space="preserve"> </w:t>
      </w:r>
      <w:r>
        <w:t xml:space="preserve">to thrive in this competitive market.</w:t>
      </w:r>
    </w:p>
    <w:p>
      <w:pPr>
        <w:pStyle w:val="BodyText"/>
      </w:pPr>
      <w:r>
        <w:t xml:space="preserve">The success of this model relies heavily on the unique position of Germany Frankfurt as a logistical and economic nexus. By catering to both local residents and the international community, the practice has created a sustainable business model that prioritizes patient health while maintaining operational excellence. Future expansions should consider further telemedicine integration to reach patients in surrounding rural areas of Hesse, thereby extending the reach of this high-quality care beyond the city limits.</w:t>
      </w:r>
    </w:p>
    <w:p>
      <w:pPr>
        <w:pStyle w:val="BodyText"/>
      </w:pPr>
      <w:r>
        <w:t xml:space="preserve">In conclusion, for stakeholders considering entry into the ophthalmic sector in Central Europe, Germany Frankfurt offers a robust infrastructure and a demand for premium healthcare services. The strategic deployment of resources and adherence to German quality standards ensure that an</w:t>
      </w:r>
      <w:r>
        <w:t xml:space="preserve"> </w:t>
      </w:r>
      <w:r>
        <w:rPr>
          <w:bCs/>
          <w:b/>
        </w:rPr>
        <w:t xml:space="preserve">Ophthalmologist</w:t>
      </w:r>
      <w:r>
        <w:t xml:space="preserve"> </w:t>
      </w:r>
      <w:r>
        <w:t xml:space="preserve">can deliver exceptional value to the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Ophthalmologist Services in Germany Frankfurt</dc:title>
  <dc:creator/>
  <dc:language>en</dc:language>
  <cp:keywords/>
  <dcterms:created xsi:type="dcterms:W3CDTF">2026-07-29T15:44:27Z</dcterms:created>
  <dcterms:modified xsi:type="dcterms:W3CDTF">2026-07-29T15:44:27Z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