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Establishing</w:t>
      </w:r>
      <w:r>
        <w:t xml:space="preserve"> </w:t>
      </w:r>
      <w:r>
        <w:t xml:space="preserve">a</w:t>
      </w:r>
      <w:r>
        <w:t xml:space="preserve"> </w:t>
      </w:r>
      <w:r>
        <w:t xml:space="preserve">Premium</w:t>
      </w:r>
      <w:r>
        <w:t xml:space="preserve"> </w:t>
      </w:r>
      <w:r>
        <w:t xml:space="preserve">Ophthalmology</w:t>
      </w:r>
      <w:r>
        <w:t xml:space="preserve"> </w:t>
      </w:r>
      <w:r>
        <w:t xml:space="preserve">Practice</w:t>
      </w:r>
      <w:r>
        <w:t xml:space="preserve"> </w:t>
      </w:r>
      <w:r>
        <w:t xml:space="preserve">in</w:t>
      </w:r>
      <w:r>
        <w:t xml:space="preserve"> </w:t>
      </w:r>
      <w:r>
        <w:t xml:space="preserve">Germany</w:t>
      </w:r>
      <w:r>
        <w:t xml:space="preserve"> </w:t>
      </w:r>
      <w:r>
        <w:t xml:space="preserve">Munich</w:t>
      </w:r>
    </w:p>
    <w:bookmarkStart w:id="35" w:name="X767e723f9e68d27d1fbc82506b98d799b994ba5"/>
    <w:p>
      <w:pPr>
        <w:pStyle w:val="Heading1"/>
      </w:pPr>
      <w:r>
        <w:t xml:space="preserve">Strategic Market Entry and Operational Excellence in Healthcare</w:t>
      </w:r>
    </w:p>
    <w:p>
      <w:pPr>
        <w:pStyle w:val="FirstParagraph"/>
      </w:pPr>
      <w:r>
        <w:rPr>
          <w:bCs/>
          <w:b/>
        </w:rPr>
        <w:t xml:space="preserve">Title:</w:t>
      </w:r>
      <w:r>
        <w:br/>
      </w:r>
      <w:r>
        <w:t xml:space="preserve">Bridging Quality and Accessibility: The Strategic Implementation of a Specialized Ophthalmology Practice in Germany Munich.</w:t>
      </w:r>
      <w:r>
        <w:br/>
      </w:r>
      <w:r>
        <w:br/>
      </w:r>
      <w:r>
        <w:rPr>
          <w:bCs/>
          <w:b/>
        </w:rPr>
        <w:t xml:space="preserve">Date:</w:t>
      </w:r>
      <w:r>
        <w:br/>
      </w:r>
      <w:r>
        <w:t xml:space="preserve">October 2023</w:t>
      </w:r>
      <w:r>
        <w:br/>
      </w:r>
      <w:r>
        <w:br/>
      </w:r>
      <w:r>
        <w:rPr>
          <w:bCs/>
          <w:b/>
        </w:rPr>
        <w:t xml:space="preserve">Audience:</w:t>
      </w:r>
      <w:r>
        <w:br/>
      </w:r>
      <w:r>
        <w:t xml:space="preserve">Healthcare Investors, Medical Administrators, Policy Makers, and Clinical Stakeholders.</w:t>
      </w:r>
    </w:p>
    <w:p>
      <w:pPr>
        <w:pStyle w:val="BodyText"/>
      </w:pPr>
      <w:r>
        <w:t xml:space="preserve">This document serves as a comprehensive case study regarding the establishment and operational management of a specialized medical facility focused on eye care. Specifically, this analysis examines the unique challenges and opportunities presented by locating an</w:t>
      </w:r>
      <w:r>
        <w:t xml:space="preserve"> </w:t>
      </w:r>
      <w:r>
        <w:t xml:space="preserve">Ophthalmologist</w:t>
      </w:r>
      <w:r>
        <w:t xml:space="preserve"> </w:t>
      </w:r>
      <w:r>
        <w:t xml:space="preserve">practice within the dynamic healthcare landscape of</w:t>
      </w:r>
      <w:r>
        <w:t xml:space="preserve"> </w:t>
      </w:r>
      <w:r>
        <w:t xml:space="preserve">Germany Munich</w:t>
      </w:r>
      <w:r>
        <w:t xml:space="preserve">. As urban centers in Europe face increasing demand for specialized medical services, understanding the intersection of clinical excellence, regulatory compliance, and patient experience is paramount. This case study explores how a high-standard ophthalmic service can thrive by aligning with the specific socio-economic and cultural expectations of patients in</w:t>
      </w:r>
      <w:r>
        <w:t xml:space="preserve"> </w:t>
      </w:r>
      <w:r>
        <w:t xml:space="preserve">Germany Munich</w:t>
      </w:r>
      <w:r>
        <w:t xml:space="preserve">.</w:t>
      </w:r>
    </w:p>
    <w:bookmarkStart w:id="20" w:name="executive-summary"/>
    <w:p>
      <w:pPr>
        <w:pStyle w:val="Heading2"/>
      </w:pPr>
      <w:r>
        <w:t xml:space="preserve">1. Executive Summary</w:t>
      </w:r>
    </w:p>
    <w:p>
      <w:pPr>
        <w:pStyle w:val="FirstParagraph"/>
      </w:pPr>
      <w:r>
        <w:t xml:space="preserve">The healthcare sector in Germany is characterized by a dual system of statutory health insurance (GKV) and private health insurance (PKV). For an</w:t>
      </w:r>
      <w:r>
        <w:t xml:space="preserve"> </w:t>
      </w:r>
      <w:r>
        <w:t xml:space="preserve">Ophthalmologist</w:t>
      </w:r>
      <w:r>
        <w:t xml:space="preserve">, navigating this landscape requires a nuanced strategy that balances volume-based public care with premium, self-pay services. The city of</w:t>
      </w:r>
      <w:r>
        <w:t xml:space="preserve"> </w:t>
      </w:r>
      <w:r>
        <w:t xml:space="preserve">Germany Munich</w:t>
      </w:r>
      <w:r>
        <w:t xml:space="preserve"> </w:t>
      </w:r>
      <w:r>
        <w:t xml:space="preserve">presents a unique market profile: it is one of the wealthiest cities in Europe, home to a highly educated population, and possesses robust infrastructure for medical tourism and specialized care. This case study outlines the strategic framework required to establish a successful ophthalmology practice in this region, focusing on technological integration, patient-centric care models, and regulatory adherence.</w:t>
      </w:r>
    </w:p>
    <w:bookmarkEnd w:id="20"/>
    <w:bookmarkStart w:id="23" w:name="X85a1b62f8d9cc508eb7c8b45167a279127f09fd"/>
    <w:p>
      <w:pPr>
        <w:pStyle w:val="Heading2"/>
      </w:pPr>
      <w:r>
        <w:t xml:space="preserve">2. Market Analysis: The</w:t>
      </w:r>
      <w:r>
        <w:t xml:space="preserve"> </w:t>
      </w:r>
      <w:r>
        <w:t xml:space="preserve">Germany Munich</w:t>
      </w:r>
      <w:r>
        <w:t xml:space="preserve"> </w:t>
      </w:r>
      <w:r>
        <w:t xml:space="preserve">Context</w:t>
      </w:r>
    </w:p>
    <w:bookmarkStart w:id="21" w:name="demographic-drivers"/>
    <w:p>
      <w:pPr>
        <w:pStyle w:val="Heading3"/>
      </w:pPr>
      <w:r>
        <w:t xml:space="preserve">Demographic Drivers</w:t>
      </w:r>
    </w:p>
    <w:p>
      <w:pPr>
        <w:pStyle w:val="FirstParagraph"/>
      </w:pPr>
      <w:r>
        <w:t xml:space="preserve">Germany Munich</w:t>
      </w:r>
      <w:r>
        <w:t xml:space="preserve">'s demographic structure is a critical factor in healthcare planning. The city has an aging population, leading to a higher prevalence of age-related ocular conditions such as cataracts, glaucoma, and Age-Related Macular Degeneration (AMD). Simultaneously, there is a significant demographic of young professionals and international residents who seek preventative care and elective procedures like LASIK or premium intraocular lens (IOL) implants. This duality demands that the</w:t>
      </w:r>
      <w:r>
        <w:t xml:space="preserve"> </w:t>
      </w:r>
      <w:r>
        <w:t xml:space="preserve">Ophthalmologist</w:t>
      </w:r>
      <w:r>
        <w:t xml:space="preserve"> </w:t>
      </w:r>
      <w:r>
        <w:t xml:space="preserve">practice offer a hybrid service model.</w:t>
      </w:r>
    </w:p>
    <w:bookmarkEnd w:id="21"/>
    <w:bookmarkStart w:id="22" w:name="economic-factors"/>
    <w:p>
      <w:pPr>
        <w:pStyle w:val="Heading3"/>
      </w:pPr>
      <w:r>
        <w:t xml:space="preserve">Economic Factors</w:t>
      </w:r>
    </w:p>
    <w:p>
      <w:pPr>
        <w:pStyle w:val="FirstParagraph"/>
      </w:pPr>
      <w:r>
        <w:t xml:space="preserve">Munich consistently ranks among the most expensive cities in Europe regarding real estate and operational costs. However, it also boasts one of the highest disposable incomes per capita in</w:t>
      </w:r>
      <w:r>
        <w:t xml:space="preserve"> </w:t>
      </w:r>
      <w:r>
        <w:t xml:space="preserve">Germany Munich</w:t>
      </w:r>
      <w:r>
        <w:t xml:space="preserve">. This economic reality allows for a sustainable business model that includes high-value private services. Patients in this region are willing to pay for shorter wait times, advanced diagnostic technologies (such as OCT angiography and wavefront aberrometry), and personalized consultation experiences that go beyond the standard statutory offerings.</w:t>
      </w:r>
    </w:p>
    <w:bookmarkEnd w:id="22"/>
    <w:bookmarkEnd w:id="23"/>
    <w:bookmarkStart w:id="26" w:name="Xe14f6c558c856a5179d0e2a38cc89f8ff361bfe"/>
    <w:p>
      <w:pPr>
        <w:pStyle w:val="Heading2"/>
      </w:pPr>
      <w:r>
        <w:t xml:space="preserve">3. The Role of the</w:t>
      </w:r>
      <w:r>
        <w:t xml:space="preserve"> </w:t>
      </w:r>
      <w:r>
        <w:t xml:space="preserve">Ophthalmologist</w:t>
      </w:r>
      <w:r>
        <w:t xml:space="preserve">: Clinical Excellence and Technology</w:t>
      </w:r>
    </w:p>
    <w:p>
      <w:pPr>
        <w:pStyle w:val="FirstParagraph"/>
      </w:pPr>
      <w:r>
        <w:t xml:space="preserve">In modern healthcare, the definition of an</w:t>
      </w:r>
      <w:r>
        <w:t xml:space="preserve"> </w:t>
      </w:r>
      <w:r>
        <w:t xml:space="preserve">Ophthalmologist</w:t>
      </w:r>
      <w:r>
        <w:t xml:space="preserve"> </w:t>
      </w:r>
      <w:r>
        <w:t xml:space="preserve">extends beyond surgical intervention. It encompasses comprehensive eye health management, digital diagnostics, and patient education. In the competitive environment of</w:t>
      </w:r>
      <w:r>
        <w:t xml:space="preserve"> </w:t>
      </w:r>
      <w:r>
        <w:t xml:space="preserve">Germany Munich</w:t>
      </w:r>
      <w:r>
        <w:t xml:space="preserve">, technological differentiation is essential.</w:t>
      </w:r>
    </w:p>
    <w:bookmarkStart w:id="24" w:name="technological-infrastructure"/>
    <w:p>
      <w:pPr>
        <w:pStyle w:val="Heading3"/>
      </w:pPr>
      <w:r>
        <w:t xml:space="preserve">Technological Infrastructure</w:t>
      </w:r>
    </w:p>
    <w:p>
      <w:pPr>
        <w:pStyle w:val="FirstParagraph"/>
      </w:pPr>
      <w:r>
        <w:t xml:space="preserve">To compete effectively, the practice in</w:t>
      </w:r>
      <w:r>
        <w:t xml:space="preserve"> </w:t>
      </w:r>
      <w:r>
        <w:t xml:space="preserve">Germany Munich</w:t>
      </w:r>
      <w:r>
        <w:t xml:space="preserve"> </w:t>
      </w:r>
      <w:r>
        <w:t xml:space="preserve">must invest in state-of-the-art diagnostic and surgical equipment. Key technologies include:</w:t>
      </w:r>
    </w:p>
    <w:p>
      <w:pPr>
        <w:numPr>
          <w:ilvl w:val="0"/>
          <w:numId w:val="1001"/>
        </w:numPr>
        <w:pStyle w:val="Compact"/>
      </w:pPr>
      <w:r>
        <w:rPr>
          <w:bCs/>
          <w:b/>
        </w:rPr>
        <w:t xml:space="preserve">Digital Retinal Imaging:</w:t>
      </w:r>
      <w:r>
        <w:t xml:space="preserve"> </w:t>
      </w:r>
      <w:r>
        <w:t xml:space="preserve">Allowing for early detection of diabetic retinopathy and glaucoma.</w:t>
      </w:r>
    </w:p>
    <w:p>
      <w:pPr>
        <w:numPr>
          <w:ilvl w:val="0"/>
          <w:numId w:val="1001"/>
        </w:numPr>
        <w:pStyle w:val="Compact"/>
      </w:pPr>
      <w:r>
        <w:rPr>
          <w:bCs/>
          <w:b/>
        </w:rPr>
        <w:t xml:space="preserve">Femtosecond Laser-Assisted Cataract Surgery (FLACS):</w:t>
      </w:r>
      <w:r>
        <w:t xml:space="preserve"> </w:t>
      </w:r>
      <w:r>
        <w:t xml:space="preserve">Offering precision that appeals to the high-end market in Munich.</w:t>
      </w:r>
    </w:p>
    <w:p>
      <w:pPr>
        <w:numPr>
          <w:ilvl w:val="0"/>
          <w:numId w:val="1001"/>
        </w:numPr>
        <w:pStyle w:val="Compact"/>
      </w:pPr>
      <w:r>
        <w:rPr>
          <w:bCs/>
          <w:b/>
        </w:rPr>
        <w:t xml:space="preserve">OCT Angiography:</w:t>
      </w:r>
      <w:r>
        <w:t xml:space="preserve"> </w:t>
      </w:r>
      <w:r>
        <w:t xml:space="preserve">Providing non-invasive visualization of blood flow in the retina, crucial for managing AMD and vascular occlusions.</w:t>
      </w:r>
    </w:p>
    <w:bookmarkEnd w:id="24"/>
    <w:bookmarkStart w:id="25" w:name="clinical-standards"/>
    <w:p>
      <w:pPr>
        <w:pStyle w:val="Heading3"/>
      </w:pPr>
      <w:r>
        <w:t xml:space="preserve">Clinical Standards</w:t>
      </w:r>
    </w:p>
    <w:p>
      <w:pPr>
        <w:pStyle w:val="FirstParagraph"/>
      </w:pPr>
      <w:r>
        <w:t xml:space="preserve">The reputation of an</w:t>
      </w:r>
      <w:r>
        <w:t xml:space="preserve"> </w:t>
      </w:r>
      <w:r>
        <w:t xml:space="preserve">Ophthalmologist</w:t>
      </w:r>
      <w:r>
        <w:t xml:space="preserve"> </w:t>
      </w:r>
      <w:r>
        <w:t xml:space="preserve">in Germany is built on trust and evidence-based medicine. The case study highlights the importance of adhering to strict German medical standards (Heilmittelwerbegesetz) while maintaining transparency in patient communication. Multilingual support is also a key component, as Munich has a significant international community that requires communication in English, Spanish, and other languages alongside German.</w:t>
      </w:r>
    </w:p>
    <w:bookmarkEnd w:id="25"/>
    <w:bookmarkEnd w:id="26"/>
    <w:bookmarkStart w:id="29" w:name="operational-challenges-and-solutions"/>
    <w:p>
      <w:pPr>
        <w:pStyle w:val="Heading2"/>
      </w:pPr>
      <w:r>
        <w:t xml:space="preserve">4. Operational Challenges and Solutions</w:t>
      </w:r>
    </w:p>
    <w:bookmarkStart w:id="27" w:name="bureaucracy-and-insurance-reimbursement"/>
    <w:p>
      <w:pPr>
        <w:pStyle w:val="Heading3"/>
      </w:pPr>
      <w:r>
        <w:t xml:space="preserve">Bureaucracy and Insurance Reimbursement</w:t>
      </w:r>
    </w:p>
    <w:p>
      <w:pPr>
        <w:pStyle w:val="FirstParagraph"/>
      </w:pPr>
      <w:r>
        <w:t xml:space="preserve">Navigating the German insurance system is complex. Statutory insurers have fixed reimbursement rates that may not cover the cost of premium lenses or advanced diagnostic procedures. The strategy adopted in this case study involved a clear segmentation of services:</w:t>
      </w:r>
    </w:p>
    <w:p>
      <w:pPr>
        <w:numPr>
          <w:ilvl w:val="0"/>
          <w:numId w:val="1002"/>
        </w:numPr>
        <w:pStyle w:val="Compact"/>
      </w:pPr>
      <w:r>
        <w:rPr>
          <w:bCs/>
          <w:b/>
        </w:rPr>
        <w:t xml:space="preserve">Core Services:</w:t>
      </w:r>
      <w:r>
        <w:t xml:space="preserve"> </w:t>
      </w:r>
      <w:r>
        <w:t xml:space="preserve">Covered by statutory insurance to ensure accessibility and patient volume.</w:t>
      </w:r>
    </w:p>
    <w:p>
      <w:pPr>
        <w:numPr>
          <w:ilvl w:val="0"/>
          <w:numId w:val="1002"/>
        </w:numPr>
        <w:pStyle w:val="Compact"/>
      </w:pPr>
      <w:r>
        <w:rPr>
          <w:bCs/>
          <w:b/>
        </w:rPr>
        <w:t xml:space="preserve">Premium Services:</w:t>
      </w:r>
      <w:r>
        <w:t xml:space="preserve"> </w:t>
      </w:r>
      <w:r>
        <w:t xml:space="preserve">Self-pay options for patients seeking the highest quality materials (e.g., multifocal IOLs) and extended consultation times.</w:t>
      </w:r>
    </w:p>
    <w:p>
      <w:pPr>
        <w:pStyle w:val="FirstParagraph"/>
      </w:pPr>
      <w:r>
        <w:t xml:space="preserve">This hybrid model ensures financial stability while maintaining social responsibility. For an</w:t>
      </w:r>
      <w:r>
        <w:t xml:space="preserve"> </w:t>
      </w:r>
      <w:r>
        <w:t xml:space="preserve">Ophthalmologist</w:t>
      </w:r>
      <w:r>
        <w:t xml:space="preserve">, clear communication regarding out-of-pocket costs is vital to avoid disputes and maintain patient trust in</w:t>
      </w:r>
      <w:r>
        <w:t xml:space="preserve"> </w:t>
      </w:r>
      <w:r>
        <w:t xml:space="preserve">Germany Munich</w:t>
      </w:r>
      <w:r>
        <w:t xml:space="preserve">.</w:t>
      </w:r>
    </w:p>
    <w:bookmarkEnd w:id="27"/>
    <w:bookmarkStart w:id="28" w:name="talent-acquisition-and-retention"/>
    <w:p>
      <w:pPr>
        <w:pStyle w:val="Heading3"/>
      </w:pPr>
      <w:r>
        <w:t xml:space="preserve">Talent Acquisition and Retention</w:t>
      </w:r>
    </w:p>
    <w:p>
      <w:pPr>
        <w:pStyle w:val="FirstParagraph"/>
      </w:pPr>
      <w:r>
        <w:t xml:space="preserve">Finding qualified ophthalmologists, optometrists, and administrative staff in a tight labor market is challenging. The case study emphasizes the need for a strong employer brand that highlights professional development opportunities, work-life balance, and a collaborative practice culture. Munich’s high cost of living means that competitive salary packages are necessary to attract top-tier talent from across Europe.</w:t>
      </w:r>
    </w:p>
    <w:bookmarkEnd w:id="28"/>
    <w:bookmarkEnd w:id="29"/>
    <w:bookmarkStart w:id="32" w:name="X97ec71b3d2354ff9796ca54a79d65e500999ca4"/>
    <w:p>
      <w:pPr>
        <w:pStyle w:val="Heading2"/>
      </w:pPr>
      <w:r>
        <w:t xml:space="preserve">5. Patient Experience and Digital Integration</w:t>
      </w:r>
    </w:p>
    <w:p>
      <w:pPr>
        <w:pStyle w:val="FirstParagraph"/>
      </w:pPr>
      <w:r>
        <w:t xml:space="preserve">In the digital age, patient expectations in</w:t>
      </w:r>
      <w:r>
        <w:t xml:space="preserve"> </w:t>
      </w:r>
      <w:r>
        <w:t xml:space="preserve">Germany Munich</w:t>
      </w:r>
      <w:r>
        <w:t xml:space="preserve"> </w:t>
      </w:r>
      <w:r>
        <w:t xml:space="preserve">mirror those of other major global cities. Seamless digital integration is no longer optional but expected.</w:t>
      </w:r>
    </w:p>
    <w:bookmarkStart w:id="30" w:name="digital-workflow"/>
    <w:p>
      <w:pPr>
        <w:pStyle w:val="Heading3"/>
      </w:pPr>
      <w:r>
        <w:t xml:space="preserve">Digital Workflow</w:t>
      </w:r>
    </w:p>
    <w:p>
      <w:pPr>
        <w:pStyle w:val="FirstParagraph"/>
      </w:pPr>
      <w:r>
        <w:t xml:space="preserve">The implementation of a fully electronic health record (EHR) system that complies with the German Digital Healthcare Act (Digitale-Versorgung-Gesetz, or DVG) was a cornerstone of this case study. Key features included:</w:t>
      </w:r>
    </w:p>
    <w:p>
      <w:pPr>
        <w:numPr>
          <w:ilvl w:val="0"/>
          <w:numId w:val="1003"/>
        </w:numPr>
        <w:pStyle w:val="Compact"/>
      </w:pPr>
      <w:r>
        <w:rPr>
          <w:bCs/>
          <w:b/>
        </w:rPr>
        <w:t xml:space="preserve">Online Appointment Scheduling:</w:t>
      </w:r>
      <w:r>
        <w:t xml:space="preserve"> </w:t>
      </w:r>
      <w:r>
        <w:t xml:space="preserve">Reducing administrative burden and improving access.</w:t>
      </w:r>
    </w:p>
    <w:p>
      <w:pPr>
        <w:numPr>
          <w:ilvl w:val="0"/>
          <w:numId w:val="1003"/>
        </w:numPr>
        <w:pStyle w:val="Compact"/>
      </w:pPr>
      <w:r>
        <w:rPr>
          <w:bCs/>
          <w:b/>
        </w:rPr>
        <w:t xml:space="preserve">E-Prescribing:</w:t>
      </w:r>
      <w:r>
        <w:t xml:space="preserve"> </w:t>
      </w:r>
      <w:r>
        <w:t xml:space="preserve">Direct transmission of prescriptions to pharmacies, enhancing convenience for patients in Munich.</w:t>
      </w:r>
    </w:p>
    <w:p>
      <w:pPr>
        <w:numPr>
          <w:ilvl w:val="0"/>
          <w:numId w:val="1003"/>
        </w:numPr>
        <w:pStyle w:val="Compact"/>
      </w:pPr>
      <w:r>
        <w:rPr>
          <w:bCs/>
          <w:b/>
        </w:rPr>
        <w:t xml:space="preserve">Patient Portals:</w:t>
      </w:r>
      <w:r>
        <w:t xml:space="preserve">Ophthalmologist.</w:t>
      </w:r>
    </w:p>
    <w:bookmarkEnd w:id="30"/>
    <w:bookmarkStart w:id="31" w:name="holistic-care-approach"/>
    <w:p>
      <w:pPr>
        <w:pStyle w:val="Heading3"/>
      </w:pPr>
      <w:r>
        <w:t xml:space="preserve">Holistic Care Approach</w:t>
      </w:r>
    </w:p>
    <w:p>
      <w:pPr>
        <w:pStyle w:val="FirstParagraph"/>
      </w:pPr>
      <w:r>
        <w:t xml:space="preserve">Beyond technology, the human element remains critical. The case study highlights a "warmth and competence" approach where every patient interaction is designed to be empathetic and informative. Given the high volume of patients in</w:t>
      </w:r>
      <w:r>
        <w:t xml:space="preserve"> </w:t>
      </w:r>
      <w:r>
        <w:t xml:space="preserve">Germany Munich</w:t>
      </w:r>
      <w:r>
        <w:t xml:space="preserve">, efficient triage systems ensure that urgent cases are prioritized without compromising the quality of care for chronic conditions.</w:t>
      </w:r>
    </w:p>
    <w:bookmarkEnd w:id="31"/>
    <w:bookmarkEnd w:id="32"/>
    <w:bookmarkStart w:id="33" w:name="financial-performance-and-sustainability"/>
    <w:p>
      <w:pPr>
        <w:pStyle w:val="Heading2"/>
      </w:pPr>
      <w:r>
        <w:t xml:space="preserve">6. Financial Performance and Sustainability</w:t>
      </w:r>
    </w:p>
    <w:p>
      <w:pPr>
        <w:pStyle w:val="FirstParagraph"/>
      </w:pPr>
      <w:r>
        <w:t xml:space="preserve">The financial model presented in this case study demonstrates that a balanced approach between public and private revenue streams leads to sustainable growth. Initial capital expenditure was high due to equipment costs and Munich’s real estate prices. However, operational efficiency achieved through digital tools and streamlined workflows has allowed the practice to reach profitability within eighteen months.</w:t>
      </w:r>
    </w:p>
    <w:p>
      <w:pPr>
        <w:pStyle w:val="BodyText"/>
      </w:pPr>
      <w:r>
        <w:t xml:space="preserve">Key financial indicators include:</w:t>
      </w:r>
    </w:p>
    <w:p>
      <w:pPr>
        <w:numPr>
          <w:ilvl w:val="0"/>
          <w:numId w:val="1004"/>
        </w:numPr>
        <w:pStyle w:val="Compact"/>
      </w:pPr>
      <w:r>
        <w:rPr>
          <w:bCs/>
          <w:b/>
        </w:rPr>
        <w:t xml:space="preserve">Patient Retention Rate:</w:t>
      </w:r>
      <w:r>
        <w:t xml:space="preserve"> </w:t>
      </w:r>
      <w:r>
        <w:t xml:space="preserve">High retention due to comprehensive care models.</w:t>
      </w:r>
    </w:p>
    <w:p>
      <w:pPr>
        <w:numPr>
          <w:ilvl w:val="0"/>
          <w:numId w:val="1004"/>
        </w:numPr>
        <w:pStyle w:val="Compact"/>
      </w:pPr>
      <w:r>
        <w:rPr>
          <w:bCs/>
          <w:b/>
        </w:rPr>
        <w:t xml:space="preserve">Average Revenue per Patient (ARPP):</w:t>
      </w:r>
      <w:r>
        <w:t xml:space="preserve"> </w:t>
      </w:r>
      <w:r>
        <w:t xml:space="preserve">Increased through the uptake of premium elective procedures.</w:t>
      </w:r>
    </w:p>
    <w:p>
      <w:pPr>
        <w:numPr>
          <w:ilvl w:val="0"/>
          <w:numId w:val="1004"/>
        </w:numPr>
        <w:pStyle w:val="Compact"/>
      </w:pPr>
      <w:r>
        <w:rPr>
          <w:bCs/>
          <w:b/>
        </w:rPr>
        <w:t xml:space="preserve">Clean Cost Ratio:</w:t>
      </w:r>
      <w:r>
        <w:t xml:space="preserve"> </w:t>
      </w:r>
      <w:r>
        <w:t xml:space="preserve">Maintained below industry average through energy-efficient facilities and optimized staffing schedules.</w:t>
      </w:r>
    </w:p>
    <w:bookmarkEnd w:id="33"/>
    <w:bookmarkStart w:id="34" w:name="conclusion-and-recommendations"/>
    <w:p>
      <w:pPr>
        <w:pStyle w:val="Heading2"/>
      </w:pPr>
      <w:r>
        <w:t xml:space="preserve">7. Conclusion and Recommendations</w:t>
      </w:r>
    </w:p>
    <w:p>
      <w:pPr>
        <w:pStyle w:val="FirstParagraph"/>
      </w:pPr>
      <w:r>
        <w:t xml:space="preserve">This case study illustrates that establishing an</w:t>
      </w:r>
      <w:r>
        <w:t xml:space="preserve"> </w:t>
      </w:r>
      <w:r>
        <w:t xml:space="preserve">Ophthalmologist</w:t>
      </w:r>
      <w:r>
        <w:t xml:space="preserve"> </w:t>
      </w:r>
      <w:r>
        <w:t xml:space="preserve">practice in</w:t>
      </w:r>
      <w:r>
        <w:t xml:space="preserve"> </w:t>
      </w:r>
      <w:r>
        <w:t xml:space="preserve">Germany Munich</w:t>
      </w:r>
      <w:r>
        <w:t xml:space="preserve"> </w:t>
      </w:r>
      <w:r>
        <w:t xml:space="preserve">is a complex but highly rewarding venture. Success depends on the ability to navigate the dual insurance system, invest in cutting-edge technology, and deliver a superior patient experience that resonates with the discerning population of Munich.</w:t>
      </w:r>
    </w:p>
    <w:p>
      <w:pPr>
        <w:pStyle w:val="BodyText"/>
      </w:pPr>
      <w:r>
        <w:t xml:space="preserve">The following recommendations are derived from this study:</w:t>
      </w:r>
    </w:p>
    <w:p>
      <w:pPr>
        <w:numPr>
          <w:ilvl w:val="0"/>
          <w:numId w:val="1005"/>
        </w:numPr>
        <w:pStyle w:val="Compact"/>
      </w:pPr>
      <w:r>
        <w:rPr>
          <w:bCs/>
          <w:b/>
        </w:rPr>
        <w:t xml:space="preserve">Differentiate Through Technology:</w:t>
      </w:r>
      <w:r>
        <w:t xml:space="preserve"> </w:t>
      </w:r>
      <w:r>
        <w:t xml:space="preserve">In</w:t>
      </w:r>
      <w:r>
        <w:t xml:space="preserve"> </w:t>
      </w:r>
      <w:r>
        <w:t xml:space="preserve">Germany Munich</w:t>
      </w:r>
      <w:r>
        <w:t xml:space="preserve">, clinical excellence must be supported by technological superiority to attract private payers and complex cases.</w:t>
      </w:r>
    </w:p>
    <w:p>
      <w:pPr>
        <w:numPr>
          <w:ilvl w:val="0"/>
          <w:numId w:val="1005"/>
        </w:numPr>
        <w:pStyle w:val="Compact"/>
      </w:pPr>
      <w:r>
        <w:rPr>
          <w:bCs/>
          <w:b/>
        </w:rPr>
        <w:t xml:space="preserve">Maintain Regulatory Compliance:</w:t>
      </w:r>
      <w:r>
        <w:t xml:space="preserve">Ophthalmologist.</w:t>
      </w:r>
    </w:p>
    <w:p>
      <w:pPr>
        <w:numPr>
          <w:ilvl w:val="0"/>
          <w:numId w:val="1005"/>
        </w:numPr>
        <w:pStyle w:val="Compact"/>
      </w:pPr>
      <w:r>
        <w:rPr>
          <w:bCs/>
          <w:b/>
        </w:rPr>
        <w:t xml:space="preserve">Focus on Patient Education:</w:t>
      </w:r>
      <w:r>
        <w:t xml:space="preserve"> </w:t>
      </w:r>
      <w:r>
        <w:t xml:space="preserve">Empowering patients with knowledge about their eye health builds trust and loyalty in a competitive market.</w:t>
      </w:r>
    </w:p>
    <w:p>
      <w:pPr>
        <w:numPr>
          <w:ilvl w:val="0"/>
          <w:numId w:val="1005"/>
        </w:numPr>
        <w:pStyle w:val="Compact"/>
      </w:pPr>
      <w:r>
        <w:rPr>
          <w:bCs/>
          <w:b/>
        </w:rPr>
        <w:t xml:space="preserve">Leverage Munich’s Demographics:</w:t>
      </w:r>
      <w:r>
        <w:t xml:space="preserve">Tailor marketing and service offerings to address the needs of both an aging local population and a young, international professional community.</w:t>
      </w:r>
    </w:p>
    <w:p>
      <w:pPr>
        <w:pStyle w:val="FirstParagraph"/>
      </w:pPr>
      <w:r>
        <w:t xml:space="preserve">In conclusion, the integration of high-quality clinical care with strategic business management allows an</w:t>
      </w:r>
      <w:r>
        <w:t xml:space="preserve"> </w:t>
      </w:r>
      <w:r>
        <w:t xml:space="preserve">Ophthalmologist</w:t>
      </w:r>
      <w:r>
        <w:t xml:space="preserve"> </w:t>
      </w:r>
      <w:r>
        <w:t xml:space="preserve">to not only survive but thrive in the competitive healthcare environment of</w:t>
      </w:r>
      <w:r>
        <w:t xml:space="preserve"> </w:t>
      </w:r>
      <w:r>
        <w:t xml:space="preserve">Germany Munich</w:t>
      </w:r>
      <w:r>
        <w:t xml:space="preserve">. This model serves as a blueprint for other specialized medical practices looking to enter or expand within the German market.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and Operational Excellence: A Case Study on Establishing a Premium Ophthalmology Practice in Germany Munich</dc:title>
  <dc:creator/>
  <cp:keywords/>
  <dcterms:created xsi:type="dcterms:W3CDTF">2026-07-29T14:55:44Z</dcterms:created>
  <dcterms:modified xsi:type="dcterms:W3CDTF">2026-07-29T14:55:44Z</dcterms:modified>
</cp:coreProperties>
</file>

<file path=docProps/custom.xml><?xml version="1.0" encoding="utf-8"?>
<Properties xmlns="http://schemas.openxmlformats.org/officeDocument/2006/custom-properties" xmlns:vt="http://schemas.openxmlformats.org/officeDocument/2006/docPropsVTypes"/>
</file>