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Establishing</w:t>
      </w:r>
      <w:r>
        <w:t xml:space="preserve"> </w:t>
      </w:r>
      <w:r>
        <w:t xml:space="preserve">a</w:t>
      </w:r>
      <w:r>
        <w:t xml:space="preserve"> </w:t>
      </w:r>
      <w:r>
        <w:t xml:space="preserve">Premium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bookmarkStart w:id="20" w:name="X8c26b3e114da7ca402f760a2b692f37e076429c"/>
    <w:p>
      <w:pPr>
        <w:pStyle w:val="Heading1"/>
      </w:pPr>
      <w:r>
        <w:t xml:space="preserve">Case Study: Strategic Implementation of a Modern Ophthalmologist Clinic in Iran,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Healthcare Market Analysis and Operational Strategy for an Ophthalmologist specializing in Refractive Surgery and Retinal Care.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Iran, Tehran</w:t>
      </w:r>
    </w:p>
    <w:bookmarkEnd w:id="20"/>
    <w:p>
      <w:pPr>
        <w:pStyle w:val="BodyText"/>
      </w:pPr>
      <w:r>
        <w:t xml:space="preserve">The following document serves as a comprehensive</w:t>
      </w:r>
      <w:r>
        <w:t xml:space="preserve"> </w:t>
      </w:r>
      <w:r>
        <w:rPr>
          <w:bCs/>
          <w:b/>
        </w:rPr>
        <w:t xml:space="preserve">Case Study</w:t>
      </w:r>
      <w:r>
        <w:t xml:space="preserve">Iran, with a granular focus on its capital city,</w:t>
      </w:r>
      <w:r>
        <w:t xml:space="preserve"> </w:t>
      </w:r>
      <w:r>
        <w:rPr>
          <w:bCs/>
          <w:b/>
        </w:rPr>
        <w:t xml:space="preserve">Tehran</w:t>
      </w:r>
      <w:r>
        <w:t xml:space="preserve">.</w: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demand for specialized healthcare services in urban centers continues to rise globally. In the context of</w:t>
      </w:r>
      <w:r>
        <w:t xml:space="preserve"> </w:t>
      </w:r>
      <w:r>
        <w:rPr>
          <w:bCs/>
          <w:b/>
        </w:rPr>
        <w:t xml:space="preserve">I Iran, Tehran</w:t>
      </w:r>
      <w:r>
        <w:t xml:space="preserve">, the ophthalmology sector presents a complex yet highly lucrative opportunity. The city is home to over 9 million residents, representing a dense demographic that requires both routine vision correction and advanced surgical interventions.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explores how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, equipped with international training and modern diagnostic technology, can navigate the local healthcare ecosystem to build a sustainable and reputable practice in</w:t>
      </w:r>
      <w:r>
        <w:t xml:space="preserve"> </w:t>
      </w:r>
      <w:r>
        <w:rPr>
          <w:bCs/>
          <w:b/>
        </w:rPr>
        <w:t xml:space="preserve">Tehran</w:t>
      </w:r>
      <w:r>
        <w:t xml:space="preserve">.</w:t>
      </w:r>
    </w:p>
    <w:bookmarkEnd w:id="21"/>
    <w:bookmarkStart w:id="24" w:name="market-context-in-iran-tehran"/>
    <w:p>
      <w:pPr>
        <w:pStyle w:val="Heading2"/>
      </w:pPr>
      <w:r>
        <w:t xml:space="preserve">2. Market Context in Iran, Tehran</w:t>
      </w:r>
    </w:p>
    <w:bookmarkStart w:id="22" w:name="demographic-pressure-and-urban-density"/>
    <w:p>
      <w:pPr>
        <w:pStyle w:val="Heading3"/>
      </w:pPr>
      <w:r>
        <w:t xml:space="preserve">Demographic Pressure and Urban Density</w:t>
      </w:r>
    </w:p>
    <w:p>
      <w:pPr>
        <w:pStyle w:val="FirstParagraph"/>
      </w:pPr>
      <w:r>
        <w:t xml:space="preserve">Tehran is not merely a city; it is a megacity that absorbs significant internal migration from other provinces of</w:t>
      </w:r>
      <w:r>
        <w:t xml:space="preserve"> </w:t>
      </w:r>
      <w:r>
        <w:rPr>
          <w:bCs/>
          <w:b/>
        </w:rPr>
        <w:t xml:space="preserve">Iran</w:t>
      </w:r>
      <w:r>
        <w:t xml:space="preserve">. This influx creates an overwhelming pressure on public health infrastructure. Consequently, the private sector has become the primary provider for those who can afford out-of-pocket payments or have supplementary insurance. For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, this means that a practice in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must be positioned to handle high patient volumes efficiently while maintaining premium service standards.</w:t>
      </w:r>
    </w:p>
    <w:bookmarkEnd w:id="22"/>
    <w:bookmarkStart w:id="23" w:name="epidemiological-trends"/>
    <w:p>
      <w:pPr>
        <w:pStyle w:val="Heading3"/>
      </w:pPr>
      <w:r>
        <w:t xml:space="preserve">Epidemiological Trends</w:t>
      </w:r>
    </w:p>
    <w:p>
      <w:pPr>
        <w:pStyle w:val="FirstParagraph"/>
      </w:pPr>
      <w:r>
        <w:t xml:space="preserve">The prevalence of refractive errors (myopia, hyperopia, astigmatism) is increasing among the youth population in</w:t>
      </w:r>
      <w:r>
        <w:t xml:space="preserve"> </w:t>
      </w:r>
      <w:r>
        <w:rPr>
          <w:bCs/>
          <w:b/>
        </w:rPr>
        <w:t xml:space="preserve">Iran</w:t>
      </w:r>
      <w:r>
        <w:t xml:space="preserve">, largely due to increased screen time and educational pressures. Furthermore, an aging demographic in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has led to a surge in cataract and glaucoma cases. These two distinct market segments—cosmetic/refractive surgery for the young and therapeutic/surgical care for the elderly—form the backbone of potential revenue streams for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.</w:t>
      </w:r>
    </w:p>
    <w:bookmarkEnd w:id="23"/>
    <w:bookmarkEnd w:id="24"/>
    <w:bookmarkStart w:id="27" w:name="Xf818719dec2472f50369b701390939dd3894246"/>
    <w:p>
      <w:pPr>
        <w:pStyle w:val="Heading2"/>
      </w:pPr>
      <w:r>
        <w:t xml:space="preserve">3. Strategic Positioning of the Ophthalmologist Practice</w:t>
      </w:r>
    </w:p>
    <w:bookmarkStart w:id="25" w:name="bridging-quality-and-accessibility"/>
    <w:p>
      <w:pPr>
        <w:pStyle w:val="Heading3"/>
      </w:pPr>
      <w:r>
        <w:t xml:space="preserve">Bridging Quality and Accessibility</w:t>
      </w:r>
    </w:p>
    <w:p>
      <w:pPr>
        <w:pStyle w:val="FirstParagraph"/>
      </w:pPr>
      <w:r>
        <w:t xml:space="preserve">In many districts of</w:t>
      </w:r>
      <w:r>
        <w:t xml:space="preserve"> </w:t>
      </w:r>
      <w:r>
        <w:rPr>
          <w:bCs/>
          <w:b/>
        </w:rPr>
        <w:t xml:space="preserve">Tehran</w:t>
      </w:r>
      <w:r>
        <w:t xml:space="preserve">, such as Elahieh, Niavaran, and Vanak, there is a growing middle-to-upper class seeking healthcare that rivals Western standards. The core strategy for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posits that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must bridge the gap between traditional medical care in</w:t>
      </w:r>
      <w:r>
        <w:t xml:space="preserve"> </w:t>
      </w:r>
      <w:r>
        <w:rPr>
          <w:bCs/>
          <w:b/>
        </w:rPr>
        <w:t xml:space="preserve">Iran</w:t>
      </w:r>
      <w:r>
        <w:t xml:space="preserve"> </w:t>
      </w:r>
      <w:r>
        <w:t xml:space="preserve">and modern technological expectations. This involves acquiring advanced equipment such as Optical Coherence Tomography (OCT), femtosecond lasers, and digital retinal imaging systems.</w:t>
      </w:r>
    </w:p>
    <w:bookmarkEnd w:id="25"/>
    <w:bookmarkStart w:id="26" w:name="differentiation-through-technology"/>
    <w:p>
      <w:pPr>
        <w:pStyle w:val="Heading3"/>
      </w:pPr>
      <w:r>
        <w:t xml:space="preserve">Differentiation through Technology</w:t>
      </w:r>
    </w:p>
    <w:p>
      <w:pPr>
        <w:pStyle w:val="FirstParagraph"/>
      </w:pPr>
      <w:r>
        <w:t xml:space="preserve">Sanctions and economic fluctuations in</w:t>
      </w:r>
      <w:r>
        <w:t xml:space="preserve"> </w:t>
      </w:r>
      <w:r>
        <w:rPr>
          <w:bCs/>
          <w:b/>
        </w:rPr>
        <w:t xml:space="preserve">Iran</w:t>
      </w:r>
      <w:r>
        <w:t xml:space="preserve"> </w:t>
      </w:r>
      <w:r>
        <w:t xml:space="preserve">can sometimes limit access to the latest medical imports. However, a successful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can differentiate their practice by securing supply chains for high-quality consumables (such as premium intraocular lenses) and offering procedures like LASIK, SMILE, and PRK. These elective procedures are often paid out-of-pocket or through private insurance networks that are less affected by national budget cuts compared to basic public healthcare.</w:t>
      </w:r>
    </w:p>
    <w:bookmarkEnd w:id="26"/>
    <w:bookmarkEnd w:id="27"/>
    <w:bookmarkStart w:id="30" w:name="operational-challenges-in-tehran"/>
    <w:p>
      <w:pPr>
        <w:pStyle w:val="Heading2"/>
      </w:pPr>
      <w:r>
        <w:t xml:space="preserve">4. Operational Challenges in Tehran</w:t>
      </w:r>
    </w:p>
    <w:bookmarkStart w:id="28" w:name="regulatory-environment"/>
    <w:p>
      <w:pPr>
        <w:pStyle w:val="Heading3"/>
      </w:pPr>
      <w:r>
        <w:t xml:space="preserve">Regulatory Environment</w:t>
      </w:r>
    </w:p>
    <w:p>
      <w:pPr>
        <w:pStyle w:val="FirstParagraph"/>
      </w:pPr>
      <w:r>
        <w:t xml:space="preserve">The Medical Council of</w:t>
      </w:r>
      <w:r>
        <w:t xml:space="preserve"> </w:t>
      </w:r>
      <w:r>
        <w:rPr>
          <w:bCs/>
          <w:b/>
        </w:rPr>
        <w:t xml:space="preserve">Iran</w:t>
      </w:r>
      <w:r>
        <w:t xml:space="preserve"> </w:t>
      </w:r>
      <w:r>
        <w:t xml:space="preserve">imposes strict regulations on licensing and continuous medical education.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must ensure rigorous compliance with these national standards. Additionally, local municipal laws in Tehran regarding clinic zoning and signage require careful navigation. The bureaucratic landscape can be slow; therefore, patience and local legal counsel are essential assets.</w:t>
      </w:r>
    </w:p>
    <w:bookmarkEnd w:id="28"/>
    <w:bookmarkStart w:id="29" w:name="economic-volatility"/>
    <w:p>
      <w:pPr>
        <w:pStyle w:val="Heading3"/>
      </w:pPr>
      <w:r>
        <w:t xml:space="preserve">Economic Volatility</w:t>
      </w:r>
    </w:p>
    <w:p>
      <w:pPr>
        <w:pStyle w:val="FirstParagraph"/>
      </w:pPr>
      <w:r>
        <w:t xml:space="preserve">Inflation in</w:t>
      </w:r>
      <w:r>
        <w:t xml:space="preserve"> </w:t>
      </w:r>
      <w:r>
        <w:rPr>
          <w:bCs/>
          <w:b/>
        </w:rPr>
        <w:t xml:space="preserve">Iran</w:t>
      </w:r>
      <w:r>
        <w:t xml:space="preserve"> </w:t>
      </w:r>
      <w:r>
        <w:t xml:space="preserve">affects the cost of medical equipment maintenance and replacement. For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, this means that pricing strategies must be dynamic. The practice must account for currency fluctuation when importing software updates or specialized lenses. A robust financial model for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suggests holding a reserve fund in stable currencies where possible, to mitigate the risks associated with operating in</w:t>
      </w:r>
      <w:r>
        <w:t xml:space="preserve"> </w:t>
      </w:r>
      <w:r>
        <w:rPr>
          <w:bCs/>
          <w:b/>
        </w:rPr>
        <w:t xml:space="preserve">Tehran</w:t>
      </w:r>
      <w:r>
        <w:t xml:space="preserve">.</w:t>
      </w:r>
    </w:p>
    <w:bookmarkEnd w:id="29"/>
    <w:bookmarkEnd w:id="30"/>
    <w:bookmarkStart w:id="31" w:name="Xe57a0dbc298a382970a61c8c60f4c43313ab752"/>
    <w:p>
      <w:pPr>
        <w:pStyle w:val="Heading2"/>
      </w:pPr>
      <w:r>
        <w:t xml:space="preserve">5. Patient Experience and Cultural Considerations</w:t>
      </w:r>
    </w:p>
    <w:p>
      <w:pPr>
        <w:pStyle w:val="FirstParagraph"/>
      </w:pPr>
      <w:r>
        <w:t xml:space="preserve">In Persian culture, trust is built through personal interaction and reputation.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cannot rely solely on marketing; word-of-mouth remains the most powerful driver of new patients. The clinic environment must reflect cleanliness, respect, and empathy—values highly prized in Iranian society.</w:t>
      </w:r>
    </w:p>
    <w:p>
      <w:pPr>
        <w:pStyle w:val="BodyText"/>
      </w:pPr>
      <w:r>
        <w:t xml:space="preserve">Furthermore, the digital presence is increasingly vital. Younger demographics in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are active on social media platforms like Instagram and local directories.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should utilize these channels to educate the public about eye health, debunk myths, and showcase success stories of surgeries performed in their clinic.</w:t>
      </w:r>
    </w:p>
    <w:bookmarkEnd w:id="31"/>
    <w:bookmarkStart w:id="32" w:name="financial-projections-and-sustainability"/>
    <w:p>
      <w:pPr>
        <w:pStyle w:val="Heading2"/>
      </w:pPr>
      <w:r>
        <w:t xml:space="preserve">6. Financial Projections and Sustainability</w:t>
      </w:r>
    </w:p>
    <w:p>
      <w:pPr>
        <w:pStyle w:val="FirstParagraph"/>
      </w:pPr>
      <w:r>
        <w:t xml:space="preserve">The financial model for an ophthalmology practice in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typically relies on a mix of: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Surgical Fees:</w:t>
      </w:r>
      <w:r>
        <w:t xml:space="preserve"> </w:t>
      </w:r>
      <w:r>
        <w:t xml:space="preserve">High-margin procedures such as cataract surgery (often covered by public insurance) and refractive surgery (private pay).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Routine check-ups, OCT scans, and visual field tests.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Optical Sales:</w:t>
      </w:r>
      <w:r>
        <w:t xml:space="preserve"> </w:t>
      </w:r>
      <w:r>
        <w:t xml:space="preserve">In-clinic optical shops for glasses and contact lenses provide steady cash flow.</w:t>
      </w:r>
    </w:p>
    <w:p>
      <w:pPr>
        <w:pStyle w:val="FirstParagraph"/>
      </w:pPr>
      <w:r>
        <w:t xml:space="preserve">The break-even point in</w:t>
      </w:r>
      <w:r>
        <w:t xml:space="preserve"> </w:t>
      </w:r>
      <w:r>
        <w:rPr>
          <w:bCs/>
          <w:b/>
        </w:rPr>
        <w:t xml:space="preserve">Iran</w:t>
      </w:r>
      <w:r>
        <w:t xml:space="preserve">'s capital is generally reached within 18 to 24 months if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maintains a patient volume of at least 15-20 surgical cases per week and manages overhead costs effectively. The cost of labor in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is competitive, allowing for the hiring of skilled technicians and nurses without prohibitive expenses.</w:t>
      </w:r>
    </w:p>
    <w:bookmarkEnd w:id="32"/>
    <w:bookmarkStart w:id="33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demonstrates that establishing an ophthalmology practice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, requires more than just medical expertise. It demands a nuanced understanding of the local economic pressures, regulatory frameworks, and cultural expectations for patient care. For the modern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,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offers a vast canvas to improve public health outcomes while building a sustainable business.</w:t>
      </w:r>
    </w:p>
    <w:p>
      <w:pPr>
        <w:pStyle w:val="BodyText"/>
      </w:pPr>
      <w:r>
        <w:t xml:space="preserve">Success hinges on technological adoption, strategic location selection within the capital, and unwavering adherence to professional ethics. By addressing the specific needs of the population in</w:t>
      </w:r>
      <w:r>
        <w:t xml:space="preserve"> </w:t>
      </w:r>
      <w:r>
        <w:rPr>
          <w:bCs/>
          <w:b/>
        </w:rPr>
        <w:t xml:space="preserve">Iran</w:t>
      </w:r>
      <w:r>
        <w:t xml:space="preserve">, an ophthalmology clinic can become not just a medical facility, but a cornerstone of community health in</w:t>
      </w:r>
      <w:r>
        <w:t xml:space="preserve"> </w:t>
      </w:r>
      <w:r>
        <w:rPr>
          <w:bCs/>
          <w:b/>
        </w:rPr>
        <w:t xml:space="preserve">Tehran</w:t>
      </w:r>
      <w:r>
        <w:t xml:space="preserve">. The future of vision care in this region is bright, provided that practitioners adapt to the dynamic realities of operating within</w:t>
      </w:r>
      <w:r>
        <w:t xml:space="preserve"> </w:t>
      </w:r>
      <w:r>
        <w:rPr>
          <w:bCs/>
          <w:b/>
        </w:rPr>
        <w:t xml:space="preserve">Iran</w:t>
      </w:r>
      <w:r>
        <w:t xml:space="preserve">'s largest metropolitan hub.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Establishing a Premium Ophthalmologist Practice in Iran, Tehran</dc:title>
  <dc:creator/>
  <dc:language>en</dc:language>
  <cp:keywords/>
  <dcterms:created xsi:type="dcterms:W3CDTF">2026-07-29T03:21:54Z</dcterms:created>
  <dcterms:modified xsi:type="dcterms:W3CDTF">2026-07-29T03:21:54Z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