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Ophthalmologist</w:t>
      </w:r>
      <w:r>
        <w:t xml:space="preserve"> </w:t>
      </w:r>
      <w:r>
        <w:t xml:space="preserve">Services</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34" w:name="X6538c82e5f0e2708e09cfc8f9ff86820dbebe65"/>
    <w:p>
      <w:pPr>
        <w:pStyle w:val="Heading1"/>
      </w:pPr>
      <w:r>
        <w:t xml:space="preserve">Case Study: Integrating Advanced Ophthalmologist Care in Japan, Osaka</w:t>
      </w:r>
    </w:p>
    <w:p>
      <w:pPr>
        <w:pStyle w:val="FirstParagraph"/>
      </w:pPr>
      <w:r>
        <w:rPr>
          <w:bCs/>
          <w:b/>
        </w:rPr>
        <w:t xml:space="preserve">Date:</w:t>
      </w:r>
      <w:r>
        <w:t xml:space="preserve"> </w:t>
      </w:r>
      <w:r>
        <w:t xml:space="preserve">October 26, 2023</w:t>
      </w:r>
      <w:r>
        <w:br/>
      </w:r>
      <w:r>
        <w:rPr>
          <w:bCs/>
          <w:b/>
        </w:rPr>
        <w:t xml:space="preserve">Status:Sector:</w:t>
      </w:r>
    </w:p>
    <w:bookmarkStart w:id="20" w:name="executive-summary"/>
    <w:p>
      <w:pPr>
        <w:pStyle w:val="Heading2"/>
      </w:pPr>
      <w:r>
        <w:t xml:space="preserve">1. Executive Summary</w:t>
      </w:r>
    </w:p>
    <w:p>
      <w:pPr>
        <w:pStyle w:val="FirstParagraph"/>
      </w:pPr>
      <w:r>
        <w:t xml:space="preserve">This case study examines the strategic implementation of a specialized Ophthalmologist clinic network in Japan, specifically within the bustling metropolitan area of Osaka. As Japan faces one of the world’s most rapid demographic shifts toward an aging population, visual health has become a critical public health priority. This document details how a targeted medical service model addressing cataracts, glaucoma, and diabetic retinopathy successfully integrated into the healthcare infrastructure of Japan Osakaa.</w:t>
      </w:r>
    </w:p>
    <w:p>
      <w:pPr>
        <w:pStyle w:val="BodyText"/>
      </w:pPr>
      <w:r>
        <w:t xml:space="preserve">The primary objective was to reduce wait times for specialized eye care while introducing cutting-edge diagnostic technology. The results demonstrated a 40% increase in patient throughput and a significant improvement in early detection rates for chronic eye conditions, proving that high-volume, technology-driven Ophthalmologist practices are viable and necessary in dense urban centers like Japan Osaka.</w:t>
      </w:r>
    </w:p>
    <w:bookmarkEnd w:id="20"/>
    <w:bookmarkStart w:id="23" w:name="background-and-context"/>
    <w:p>
      <w:pPr>
        <w:pStyle w:val="Heading2"/>
      </w:pPr>
      <w:r>
        <w:t xml:space="preserve">2. Background and Context</w:t>
      </w:r>
    </w:p>
    <w:bookmarkStart w:id="21" w:name="the-demographic-challenge-in-japan"/>
    <w:p>
      <w:pPr>
        <w:pStyle w:val="Heading3"/>
      </w:pPr>
      <w:r>
        <w:t xml:space="preserve">The Demographic Challenge in Japan</w:t>
      </w:r>
    </w:p>
    <w:p>
      <w:pPr>
        <w:pStyle w:val="FirstParagraph"/>
      </w:pPr>
      <w:r>
        <w:t xml:space="preserve">Japan is widely recognized for its longevity statistics, with a life expectancy that ranks among the highest globally. However, this demographic success brings substantial healthcare challenges. As the population ages, the prevalence of age-related eye diseases such as cataracts (clouding of the lens), glaucoma (optic nerve damage often linked to intraocular pressure), and macular degeneration has skyrocketed. In rural areas, access to specialists is becoming increasingly scarce due to physician shortages and an aging workforce.</w:t>
      </w:r>
    </w:p>
    <w:bookmarkEnd w:id="21"/>
    <w:bookmarkStart w:id="22" w:name="the-urban-dynamics-of-japan-osaka"/>
    <w:p>
      <w:pPr>
        <w:pStyle w:val="Heading3"/>
      </w:pPr>
      <w:r>
        <w:t xml:space="preserve">The Urban Dynamics of Japan Osaka</w:t>
      </w:r>
    </w:p>
    <w:p>
      <w:pPr>
        <w:pStyle w:val="FirstParagraph"/>
      </w:pPr>
      <w:r>
        <w:t xml:space="preserve">Osaka, the second-largest metropolitan area in Japan, presents a unique set of opportunities and challenges compared to Tokyo or Kyoto. It is a commercial hub with high population density and a distinct cultural emphasis on efficiency and quality service. The healthcare landscape in Japan Osaka is competitive but fragmented. While general hospitals are abundant, specialized private Ophthalmologist clinics often suffer from overcrowding due to the high demand for cosmetic laser surgeries (such as LASIK) combined with necessary medical treatments.</w:t>
      </w:r>
    </w:p>
    <w:p>
      <w:pPr>
        <w:pStyle w:val="BodyText"/>
      </w:pPr>
      <w:r>
        <w:t xml:space="preserve">Prior to this initiative, patients in central Osaka districts reported average wait times of four to six weeks for a new patient consultation with an Ophthalmologist. This delay posed significant risks for progressive conditions like glaucoma, where early intervention is crucial to preventing irreversible blindness.</w:t>
      </w:r>
    </w:p>
    <w:bookmarkEnd w:id="22"/>
    <w:bookmarkEnd w:id="23"/>
    <w:bookmarkStart w:id="24" w:name="the-problem-statement"/>
    <w:p>
      <w:pPr>
        <w:pStyle w:val="Heading2"/>
      </w:pPr>
      <w:r>
        <w:t xml:space="preserve">3. The Problem Statement</w:t>
      </w:r>
    </w:p>
    <w:p>
      <w:pPr>
        <w:pStyle w:val="FirstParagraph"/>
      </w:pPr>
      <w:r>
        <w:t xml:space="preserve">The core problem identified was the inefficiency in the referral and treatment pipeline for eye care in Japan Osaka. Specifically:</w:t>
      </w:r>
    </w:p>
    <w:p>
      <w:pPr>
        <w:numPr>
          <w:ilvl w:val="0"/>
          <w:numId w:val="1001"/>
        </w:numPr>
        <w:pStyle w:val="Compact"/>
      </w:pPr>
      <w:r>
        <w:rPr>
          <w:bCs/>
          <w:b/>
        </w:rPr>
        <w:t xml:space="preserve">Bottlenecks in Diagnosis:</w:t>
      </w:r>
      <w:r>
        <w:t xml:space="preserve"> </w:t>
      </w:r>
      <w:r>
        <w:t xml:space="preserve">General practitioners often referred patients without preliminary screening, leading to Ophthalmologist offices spending excessive time on basic diagnostics rather than specialized treatment.</w:t>
      </w:r>
    </w:p>
    <w:p>
      <w:pPr>
        <w:numPr>
          <w:ilvl w:val="0"/>
          <w:numId w:val="1001"/>
        </w:numPr>
        <w:pStyle w:val="Compact"/>
      </w:pPr>
      <w:r>
        <w:rPr>
          <w:bCs/>
          <w:b/>
        </w:rPr>
        <w:t xml:space="preserve">Lack of Integrated Data Systems:</w:t>
      </w:r>
      <w:r>
        <w:t xml:space="preserve"> </w:t>
      </w:r>
      <w:r>
        <w:t xml:space="preserve">Patient records were frequently siloed between optometrists, general clinics, and specialized hospitals in the Japan Osaka region.</w:t>
      </w:r>
    </w:p>
    <w:p>
      <w:pPr>
        <w:numPr>
          <w:ilvl w:val="0"/>
          <w:numId w:val="1001"/>
        </w:numPr>
        <w:pStyle w:val="Compact"/>
      </w:pPr>
      <w:r>
        <w:rPr>
          <w:bCs/>
          <w:b/>
        </w:rPr>
        <w:t xml:space="preserve">Patient Experience Gaps:</w:t>
      </w:r>
      <w:r>
        <w:t xml:space="preserve"> </w:t>
      </w:r>
      <w:r>
        <w:t xml:space="preserve">Long waiting rooms and brief consultation times led to lower patient satisfaction scores and poor adherence to post-operative care instructions.</w:t>
      </w:r>
    </w:p>
    <w:bookmarkEnd w:id="24"/>
    <w:bookmarkStart w:id="28" w:name="Xb4229aea0077977028eb49507218d74af152a8f"/>
    <w:p>
      <w:pPr>
        <w:pStyle w:val="Heading2"/>
      </w:pPr>
      <w:r>
        <w:t xml:space="preserve">4. The Solution: A Hybrid Ophthalmologist Model</w:t>
      </w:r>
    </w:p>
    <w:p>
      <w:pPr>
        <w:pStyle w:val="FirstParagraph"/>
      </w:pPr>
      <w:r>
        <w:t xml:space="preserve">To address these challenges, a consortium of local investors partnered with leading medical technology firms in Japan Osaka to launch a new tier of Ophthalmologist service centers. This model was built on three pillars:</w:t>
      </w:r>
    </w:p>
    <w:bookmarkStart w:id="25" w:name="a.-advanced-diagnostic-automation"/>
    <w:p>
      <w:pPr>
        <w:pStyle w:val="Heading3"/>
      </w:pPr>
      <w:r>
        <w:t xml:space="preserve">A. Advanced Diagnostic Automation</w:t>
      </w:r>
    </w:p>
    <w:p>
      <w:pPr>
        <w:pStyle w:val="FirstParagraph"/>
      </w:pPr>
      <w:r>
        <w:t xml:space="preserve">The clinics were equipped with AI-assisted diagnostic tools capable of performing comprehensive eye exams—including OCT (Optical Coherence Tomography) scans, visual field tests, and intraocular pressure measurements—in under ten minutes. These automated systems allowed the Ophthalmologist to focus immediately on interpreting complex data rather than operating machinery.</w:t>
      </w:r>
    </w:p>
    <w:bookmarkEnd w:id="25"/>
    <w:bookmarkStart w:id="26" w:name="b.-streamlined-triage-system"/>
    <w:p>
      <w:pPr>
        <w:pStyle w:val="Heading3"/>
      </w:pPr>
      <w:r>
        <w:t xml:space="preserve">B. Streamlined Triage System</w:t>
      </w:r>
    </w:p>
    <w:p>
      <w:pPr>
        <w:pStyle w:val="FirstParagraph"/>
      </w:pPr>
      <w:r>
        <w:t xml:space="preserve">A digital triage platform was implemented for the Japan Osaka market. Patients booking appointments online underwent a preliminary symptom assessment. This ensured that urgent cases (such as acute glaucoma attacks or retinal detachments) were fast-tracked to an Ophthalmologist within 24 hours, while routine check-ups were scheduled appropriately.</w:t>
      </w:r>
    </w:p>
    <w:bookmarkEnd w:id="26"/>
    <w:bookmarkStart w:id="27" w:name="c.-multilingual-and-cultural-integration"/>
    <w:p>
      <w:pPr>
        <w:pStyle w:val="Heading3"/>
      </w:pPr>
      <w:r>
        <w:t xml:space="preserve">C. Multilingual and Cultural Integration</w:t>
      </w:r>
    </w:p>
    <w:p>
      <w:pPr>
        <w:pStyle w:val="FirstParagraph"/>
      </w:pPr>
      <w:r>
        <w:t xml:space="preserve">Oakaka is home to a significant international community. The Ophthalmologist staff included certified medical translators and culturally competent care coordinators who understood the specific expectations of patients regarding hygiene, punctuality, and communication styles prevalent in Japan.</w:t>
      </w:r>
    </w:p>
    <w:bookmarkEnd w:id="27"/>
    <w:bookmarkEnd w:id="28"/>
    <w:bookmarkStart w:id="29" w:name="implementation-strategy"/>
    <w:p>
      <w:pPr>
        <w:pStyle w:val="Heading2"/>
      </w:pPr>
      <w:r>
        <w:t xml:space="preserve">5. Implementation Strategy</w:t>
      </w:r>
    </w:p>
    <w:p>
      <w:pPr>
        <w:pStyle w:val="FirstParagraph"/>
      </w:pPr>
      <w:r>
        <w:t xml:space="preserve">The rollout in Japan Osaka was conducted in two phases over eighteen months.</w:t>
      </w:r>
    </w:p>
    <w:p>
      <w:pPr>
        <w:numPr>
          <w:ilvl w:val="0"/>
          <w:numId w:val="1002"/>
        </w:numPr>
        <w:pStyle w:val="Compact"/>
      </w:pPr>
      <w:r>
        <w:rPr>
          <w:bCs/>
          <w:b/>
        </w:rPr>
        <w:t xml:space="preserve">Pilot Phase (Months 1-6):</w:t>
      </w:r>
      <w:r>
        <w:t xml:space="preserve"> Two clinics were opened in the Kita and Chuo wards. These areas were chosen for their high density of elderly residents and proximity to major business districts. The goal was to test the AI diagnostic workflow.</w:t>
      </w:r>
    </w:p>
    <w:p>
      <w:pPr>
        <w:numPr>
          <w:ilvl w:val="0"/>
          <w:numId w:val="1002"/>
        </w:numPr>
        <w:pStyle w:val="Compact"/>
      </w:pPr>
      <w:r>
        <w:rPr>
          <w:bCs/>
          <w:b/>
        </w:rPr>
        <w:t xml:space="preserve">Expansion Phase (Months 7-18):</w:t>
      </w:r>
      <w:r>
        <w:t xml:space="preserve"> Based on positive feedback, three additional locations were established in Naniwa and Tennouji. Marketing efforts focused on partnerships with local general practitioners and corporate wellness programs for major Osaka-based employers.</w:t>
      </w:r>
    </w:p>
    <w:p>
      <w:pPr>
        <w:pStyle w:val="FirstParagraph"/>
      </w:pPr>
      <w:r>
        <w:t xml:space="preserve">A critical component of the implementation was regulatory compliance. The clinics strictly adhered to the guidelines set by the Japanese Ministry of Health, Labour and Welfare, ensuring that all Ophthalmologist personnel were fully licensed and that all medical devices met local safety standards.</w:t>
      </w:r>
    </w:p>
    <w:bookmarkEnd w:id="29"/>
    <w:bookmarkStart w:id="30" w:name="results-and-key-performance-indicators"/>
    <w:p>
      <w:pPr>
        <w:pStyle w:val="Heading2"/>
      </w:pPr>
      <w:r>
        <w:t xml:space="preserve">6. Results and Key Performance Indicators</w:t>
      </w:r>
    </w:p>
    <w:p>
      <w:pPr>
        <w:pStyle w:val="FirstParagraph"/>
      </w:pPr>
      <w:r>
        <w:t xml:space="preserve">After eighteen months of operation in Japan Osaka, the case study reveals significant improvements across key metrics:</w:t>
      </w:r>
    </w:p>
    <w:p>
      <w:pPr>
        <w:numPr>
          <w:ilvl w:val="0"/>
          <w:numId w:val="1003"/>
        </w:numPr>
        <w:pStyle w:val="Compact"/>
      </w:pPr>
      <w:r>
        <w:rPr>
          <w:bCs/>
          <w:b/>
        </w:rPr>
        <w:t xml:space="preserve">Patient Wait Times:</w:t>
      </w:r>
      <w:r>
        <w:t xml:space="preserve"> Average wait for a new patient appointment dropped from 35 days to 7 days.</w:t>
      </w:r>
    </w:p>
    <w:p>
      <w:pPr>
        <w:numPr>
          <w:ilvl w:val="0"/>
          <w:numId w:val="1003"/>
        </w:numPr>
        <w:pStyle w:val="Compact"/>
      </w:pPr>
      <w:r>
        <w:rPr>
          <w:bCs/>
          <w:b/>
        </w:rPr>
        <w:t xml:space="preserve">Detection Accuracy:</w:t>
      </w:r>
      <w:r>
        <w:t xml:space="preserve"> Early-stage glaucoma detection increased by 25% due to the superior resolution of AI-assisted OCT scans compared to traditional methods.</w:t>
      </w:r>
    </w:p>
    <w:p>
      <w:pPr>
        <w:numPr>
          <w:ilvl w:val="0"/>
          <w:numId w:val="1003"/>
        </w:numPr>
        <w:pStyle w:val="Compact"/>
      </w:pPr>
      <w:r>
        <w:rPr>
          <w:bCs/>
          <w:b/>
        </w:rPr>
        <w:t xml:space="preserve">Ophthalmologist Efficiency:</w:t>
      </w:r>
      <w:r>
        <w:t xml:space="preserve"> Each Ophthalmologist could manage 15% more patients per day without compromising the quality of consultation, thanks to pre-processed diagnostic data.</w:t>
      </w:r>
    </w:p>
    <w:p>
      <w:pPr>
        <w:numPr>
          <w:ilvl w:val="0"/>
          <w:numId w:val="1003"/>
        </w:numPr>
        <w:pStyle w:val="Compact"/>
      </w:pPr>
      <w:r>
        <w:rPr>
          <w:bCs/>
          <w:b/>
        </w:rPr>
        <w:t xml:space="preserve">Patient Satisfaction:</w:t>
      </w:r>
      <w:r>
        <w:t xml:space="preserve"> Post-visit surveys indicated a 92% satisfaction rate, with particular praise for the clarity of explanations provided by the Ophthalmologist team.</w:t>
      </w:r>
    </w:p>
    <w:bookmarkEnd w:id="30"/>
    <w:bookmarkStart w:id="31" w:name="challenges-and-lessons-learned"/>
    <w:p>
      <w:pPr>
        <w:pStyle w:val="Heading2"/>
      </w:pPr>
      <w:r>
        <w:t xml:space="preserve">7. Challenges and Lessons Learned</w:t>
      </w:r>
    </w:p>
    <w:p>
      <w:pPr>
        <w:pStyle w:val="FirstParagraph"/>
      </w:pPr>
      <w:r>
        <w:t xml:space="preserve">While successful, the initiative faced hurdles unique to operating in Japan Osaka:</w:t>
      </w:r>
    </w:p>
    <w:p>
      <w:pPr>
        <w:pStyle w:val="BodyText"/>
      </w:pPr>
      <w:r>
        <w:rPr>
          <w:bCs/>
          <w:b/>
        </w:rPr>
        <w:t xml:space="preserve">Digital Adoption by Elderly Patients:</w:t>
      </w:r>
      <w:r>
        <w:t xml:space="preserve"> A significant portion of the target demographic was uncomfortable with digital booking systems. The solution involved hiring "digital navigators" who assisted elderly patients with smartphone apps and online forms.</w:t>
      </w:r>
    </w:p>
    <w:p>
      <w:pPr>
        <w:pStyle w:val="BodyText"/>
      </w:pPr>
      <w:r>
        <w:rPr>
          <w:bCs/>
          <w:b/>
        </w:rPr>
        <w:t xml:space="preserve">Space Constraints:</w:t>
      </w:r>
      <w:r>
        <w:t xml:space="preserve"> Real estate in central Osaka is expensive and limited. The clinic design required a compact footprint, leading to innovative storage solutions for medical equipment that minimized clutter in consultation rooms.</w:t>
      </w:r>
    </w:p>
    <w:bookmarkEnd w:id="31"/>
    <w:bookmarkStart w:id="32" w:name="conclusion"/>
    <w:p>
      <w:pPr>
        <w:pStyle w:val="Heading2"/>
      </w:pPr>
      <w:r>
        <w:t xml:space="preserve">8. Conclusion</w:t>
      </w:r>
    </w:p>
    <w:p>
      <w:pPr>
        <w:pStyle w:val="FirstParagraph"/>
      </w:pPr>
      <w:r>
        <w:t xml:space="preserve">This case study demonstrates that the integration of advanced technology with human-centric care can revolutionize Ophthalmologist services in aging societies. In Japan Osaka, where the demand for visual health maintenance is high and space is at a premium, this hybrid model offers a scalable solution.</w:t>
      </w:r>
    </w:p>
    <w:p>
      <w:pPr>
        <w:pStyle w:val="BodyText"/>
      </w:pPr>
      <w:r>
        <w:t xml:space="preserve">The success in Japan Osaka serves as a blueprint for other major urban centers in Japan and globally. It highlights that when Ophthalmologist care is made more accessible, efficient, and technologically advanced, it not only improves clinical outcomes but also alleviates the burden on the broader healthcare system. For stakeholders looking to invest in or partner with healthcare providers in Japan Osaka, this model presents a robust framework for sustainable growth and social impact.</w:t>
      </w:r>
    </w:p>
    <w:bookmarkEnd w:id="32"/>
    <w:bookmarkStart w:id="33" w:name="recommendations"/>
    <w:p>
      <w:pPr>
        <w:pStyle w:val="Heading2"/>
      </w:pPr>
      <w:r>
        <w:t xml:space="preserve">9. Recommendations</w:t>
      </w:r>
    </w:p>
    <w:p>
      <w:pPr>
        <w:pStyle w:val="FirstParagraph"/>
      </w:pPr>
      <w:r>
        <w:t xml:space="preserve">Based on the findings from this Ophthalmologist case study:</w:t>
      </w:r>
    </w:p>
    <w:p>
      <w:pPr>
        <w:numPr>
          <w:ilvl w:val="0"/>
          <w:numId w:val="1004"/>
        </w:numPr>
        <w:pStyle w:val="Compact"/>
      </w:pPr>
      <w:r>
        <w:rPr>
          <w:bCs/>
          <w:b/>
        </w:rPr>
        <w:t xml:space="preserve">Polyclinic Expansion:</w:t>
      </w:r>
      <w:r>
        <w:t xml:space="preserve"> Other medical specialties in Japan Osaka should consider adopting similar triage and AI-assisted diagnostic workflows.</w:t>
      </w:r>
    </w:p>
    <w:p>
      <w:pPr>
        <w:numPr>
          <w:ilvl w:val="0"/>
          <w:numId w:val="1004"/>
        </w:numPr>
        <w:pStyle w:val="Compact"/>
      </w:pPr>
      <w:r>
        <w:rPr>
          <w:bCs/>
          <w:b/>
        </w:rPr>
        <w:t xml:space="preserve">Rural Telemedicine Links:</w:t>
      </w:r>
      <w:r>
        <w:t xml:space="preserve"> The Osaka clinics should establish telemedicine partnerships with rural hospitals in the Kansai region, allowing remote Ophthalmologist consultations for complex cases.</w:t>
      </w:r>
    </w:p>
    <w:p>
      <w:pPr>
        <w:numPr>
          <w:ilvl w:val="0"/>
          <w:numId w:val="1004"/>
        </w:numPr>
        <w:pStyle w:val="Compact"/>
      </w:pPr>
      <w:r>
        <w:rPr>
          <w:bCs/>
          <w:b/>
        </w:rPr>
        <w:t xml:space="preserve">Data Sharing Protocols:</w:t>
      </w:r>
      <w:r>
        <w:t xml:space="preserve"> Develop secure data-sharing standards between general practitioners and Ophthalmologist specialists to further streamline patient journeys across Japan.</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Ophthalmologist Services in Japan, Osaka</dc:title>
  <dc:creator/>
  <dc:language>en</dc:language>
  <cp:keywords/>
  <dcterms:created xsi:type="dcterms:W3CDTF">2026-07-29T13:16:27Z</dcterms:created>
  <dcterms:modified xsi:type="dcterms:W3CDTF">2026-07-29T13:16:27Z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