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Ophthalmology</w:t>
      </w:r>
      <w:r>
        <w:t xml:space="preserve"> </w:t>
      </w:r>
      <w:r>
        <w:t xml:space="preserve">Services</w:t>
      </w:r>
      <w:r>
        <w:t xml:space="preserve"> </w:t>
      </w:r>
      <w:r>
        <w:t xml:space="preserve">in</w:t>
      </w:r>
      <w:r>
        <w:t xml:space="preserve"> </w:t>
      </w:r>
      <w:r>
        <w:t xml:space="preserve">Japan</w:t>
      </w:r>
      <w:r>
        <w:t xml:space="preserve"> </w:t>
      </w:r>
      <w:r>
        <w:t xml:space="preserve">Tokyo</w:t>
      </w:r>
    </w:p>
    <w:bookmarkStart w:id="30" w:name="Xf800d257a4383cc053b7fc507ecc3b85ee73dbf"/>
    <w:p>
      <w:pPr>
        <w:pStyle w:val="Heading1"/>
      </w:pPr>
      <w:r>
        <w:t xml:space="preserve">Bridging Tradition and Technology in Eye Care: A Strategic Case Study for an Ophthalmologist Practice in Japan Tokyo</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Focus Region:</w:t>
      </w:r>
      <w:r>
        <w:t xml:space="preserve"> </w:t>
      </w:r>
      <w:r>
        <w:t xml:space="preserve">Japan, specifically the metropolitan hub of Tokyo</w:t>
      </w:r>
    </w:p>
    <w:bookmarkStart w:id="20" w:name="executive-summary"/>
    <w:p>
      <w:pPr>
        <w:pStyle w:val="Heading2"/>
      </w:pPr>
      <w:r>
        <w:t xml:space="preserve">Executive Summary</w:t>
      </w:r>
    </w:p>
    <w:p>
      <w:pPr>
        <w:pStyle w:val="FirstParagraph"/>
      </w:pPr>
      <w:r>
        <w:t xml:space="preserve">The healthcare landscape in</w:t>
      </w:r>
    </w:p>
    <w:p>
      <w:pPr>
        <w:pStyle w:val="BodyText"/>
      </w:pPr>
      <w:r>
        <w:t xml:space="preserve">J</w:t>
      </w:r>
    </w:p>
    <w:p>
      <w:pPr>
        <w:pStyle w:val="BodyText"/>
      </w:pPr>
      <w:r>
        <w:t xml:space="preserve">a</w:t>
      </w:r>
      <w:r>
        <w:t xml:space="preserve">pan To</w:t>
      </w:r>
      <w:r>
        <w:t xml:space="preserve">kyo</w:t>
      </w:r>
      <w:r>
        <w:t xml:space="preserve">m is characterized by an aging demographic, high technological literacy, and a cultural expectation of exceptional precision and care. This case study examines the strategic implementation of a specialized</w:t>
      </w:r>
      <w:r>
        <w:t xml:space="preserve"> </w:t>
      </w:r>
      <w:r>
        <w:rPr>
          <w:bCs/>
          <w:b/>
        </w:rPr>
        <w:t xml:space="preserve">Ophthalmologist</w:t>
      </w:r>
      <w:r>
        <w:t xml:space="preserve"> </w:t>
      </w:r>
      <w:r>
        <w:t xml:space="preserve">clinic within the competitive environment of</w:t>
      </w:r>
    </w:p>
    <w:p>
      <w:pPr>
        <w:pStyle w:val="BodyText"/>
      </w:pPr>
      <w:r>
        <w:t xml:space="preserve">J</w:t>
      </w:r>
    </w:p>
    <w:p>
      <w:pPr>
        <w:pStyle w:val="BodyText"/>
      </w:pPr>
      <w:r>
        <w:t xml:space="preserve">a</w:t>
      </w:r>
      <w:r>
        <w:t xml:space="preserve">pan To</w:t>
      </w:r>
      <w:r>
        <w:t xml:space="preserve">kyo</w:t>
      </w:r>
      <w:r>
        <w:t xml:space="preserve">m. The primary objective was to establish a premium eye care center that not only meets international standards of medical excellence but also resonates with the local Japanese population in</w:t>
      </w:r>
    </w:p>
    <w:p>
      <w:pPr>
        <w:pStyle w:val="BodyText"/>
      </w:pPr>
      <w:r>
        <w:t xml:space="preserve">J</w:t>
      </w:r>
    </w:p>
    <w:p>
      <w:pPr>
        <w:pStyle w:val="BodyText"/>
      </w:pPr>
      <w:r>
        <w:t xml:space="preserve">a</w:t>
      </w:r>
      <w:r>
        <w:t xml:space="preserve">pan To</w:t>
      </w:r>
      <w:r>
        <w:t xml:space="preserve">kyo</w:t>
      </w:r>
      <w:r>
        <w:t xml:space="preserve">m. The study analyzes market entry barriers, patient expectations, technological integration, and cultural adaptation strategies necessary for success in this unique geographic and cultural context.</w:t>
      </w:r>
    </w:p>
    <w:p>
      <w:pPr>
        <w:pStyle w:val="BodyText"/>
      </w:pPr>
      <w:r>
        <w:t xml:space="preserve">1. Market Context: The</w:t>
      </w:r>
    </w:p>
    <w:p>
      <w:pPr>
        <w:pStyle w:val="BodyText"/>
      </w:pPr>
      <w:r>
        <w:t xml:space="preserve">J</w:t>
      </w:r>
    </w:p>
    <w:p>
      <w:pPr>
        <w:pStyle w:val="BodyText"/>
      </w:pPr>
      <w:r>
        <w:t xml:space="preserve">a</w:t>
      </w:r>
      <w:r>
        <w:t xml:space="preserve">pan To</w:t>
      </w:r>
      <w:r>
        <w:t xml:space="preserve">kyo</w:t>
      </w:r>
      <w:r>
        <w:t xml:space="preserve">m Environment</w:t>
      </w:r>
    </w:p>
    <w:p>
      <w:pPr>
        <w:pStyle w:val="BodyText"/>
      </w:pPr>
      <w:r>
        <w:t xml:space="preserve">J</w:t>
      </w:r>
    </w:p>
    <w:p>
      <w:pPr>
        <w:pStyle w:val="BodyText"/>
      </w:pPr>
      <w:r>
        <w:t xml:space="preserve">a</w:t>
      </w:r>
      <w:r>
        <w:t xml:space="preserve">pan To</w:t>
      </w:r>
      <w:r>
        <w:t xml:space="preserve">kyo</w:t>
      </w:r>
      <w:r>
        <w:t xml:space="preserve">m serves as the epicenter of modern medical innovation in Asia. However, it is also a city with one of the fastest-aging populations globally. For an</w:t>
      </w:r>
      <w:r>
        <w:t xml:space="preserve"> </w:t>
      </w:r>
      <w:r>
        <w:rPr>
          <w:bCs/>
          <w:b/>
        </w:rPr>
        <w:t xml:space="preserve">Ophthalmologist</w:t>
      </w:r>
      <w:r>
        <w:t xml:space="preserve">, this demographic shift presents both a challenge and an opportunity. The prevalence of age-related conditions such as cataracts, glaucoma, and age-related macular degeneration (AMD) is rising sharply.</w:t>
      </w:r>
    </w:p>
    <w:p>
      <w:pPr>
        <w:pStyle w:val="BodyText"/>
      </w:pPr>
      <w:r>
        <w:t xml:space="preserve">Furthermore, the urban density of</w:t>
      </w:r>
    </w:p>
    <w:p>
      <w:pPr>
        <w:pStyle w:val="BodyText"/>
      </w:pPr>
      <w:r>
        <w:t xml:space="preserve">J</w:t>
      </w:r>
    </w:p>
    <w:p>
      <w:pPr>
        <w:pStyle w:val="BodyText"/>
      </w:pPr>
      <w:r>
        <w:t xml:space="preserve">a</w:t>
      </w:r>
      <w:r>
        <w:t xml:space="preserve">pan To</w:t>
      </w:r>
      <w:r>
        <w:t xml:space="preserve">kyo</w:t>
      </w:r>
      <w:r>
        <w:t xml:space="preserve">m creates a unique patient flow dynamic. Patients in this region are accustomed to high-speed service yet demand meticulous attention to detail. The competitive landscape includes well-established national hospital chains and private clinics that have operated for decades. Entering this market requires more than clinical competence; it requires a nuanced understanding of the</w:t>
      </w:r>
    </w:p>
    <w:p>
      <w:pPr>
        <w:pStyle w:val="BodyText"/>
      </w:pPr>
      <w:r>
        <w:t xml:space="preserve">J</w:t>
      </w:r>
    </w:p>
    <w:p>
      <w:pPr>
        <w:pStyle w:val="BodyText"/>
      </w:pPr>
      <w:r>
        <w:t xml:space="preserve">a</w:t>
      </w:r>
      <w:r>
        <w:t xml:space="preserve">pan To</w:t>
      </w:r>
      <w:r>
        <w:t xml:space="preserve">kyo</w:t>
      </w:r>
      <w:r>
        <w:t xml:space="preserve">m patient psyche, which values harmony (wa), precision, and trust.</w:t>
      </w:r>
    </w:p>
    <w:bookmarkEnd w:id="20"/>
    <w:bookmarkStart w:id="21" w:name="X2d6291c35d47d7e6f7e40a496924e8f94b1084e"/>
    <w:p>
      <w:pPr>
        <w:pStyle w:val="Heading2"/>
      </w:pPr>
      <w:r>
        <w:t xml:space="preserve">2. Strategic Objectives for the</w:t>
      </w:r>
      <w:r>
        <w:t xml:space="preserve"> </w:t>
      </w:r>
      <w:r>
        <w:rPr>
          <w:bCs/>
          <w:b/>
        </w:rPr>
        <w:t xml:space="preserve">Ophthalmologist</w:t>
      </w:r>
      <w:r>
        <w:t xml:space="preserve"> </w:t>
      </w:r>
      <w:r>
        <w:t xml:space="preserve">Practice</w:t>
      </w:r>
    </w:p>
    <w:p>
      <w:pPr>
        <w:pStyle w:val="FirstParagraph"/>
      </w:pPr>
      <w:r>
        <w:t xml:space="preserve">The core mission of this case study was to define a strategy that positions the</w:t>
      </w:r>
      <w:r>
        <w:t xml:space="preserve"> </w:t>
      </w:r>
      <w:r>
        <w:rPr>
          <w:bCs/>
          <w:b/>
        </w:rPr>
        <w:t xml:space="preserve">Ophthalmologist</w:t>
      </w:r>
      <w:r>
        <w:t xml:space="preserve"> </w:t>
      </w:r>
      <w:r>
        <w:t xml:space="preserve">brand as a leader in both surgical precision and patient comfort in</w:t>
      </w:r>
    </w:p>
    <w:p>
      <w:pPr>
        <w:pStyle w:val="BodyText"/>
      </w:pPr>
      <w:r>
        <w:t xml:space="preserve">J</w:t>
      </w:r>
    </w:p>
    <w:p>
      <w:pPr>
        <w:pStyle w:val="BodyText"/>
      </w:pPr>
      <w:r>
        <w:t xml:space="preserve">a</w:t>
      </w:r>
      <w:r>
        <w:t xml:space="preserve">pan To</w:t>
      </w:r>
      <w:r>
        <w:t xml:space="preserve">kyo</w:t>
      </w:r>
      <w:r>
        <w:t xml:space="preserve">m. The specific objectives included:</w:t>
      </w:r>
    </w:p>
    <w:p>
      <w:pPr>
        <w:numPr>
          <w:ilvl w:val="0"/>
          <w:numId w:val="1001"/>
        </w:numPr>
        <w:pStyle w:val="Compact"/>
      </w:pPr>
      <w:r>
        <w:rPr>
          <w:bCs/>
          <w:b/>
        </w:rPr>
        <w:t xml:space="preserve">Clinical Excellence:</w:t>
      </w:r>
      <w:r>
        <w:t xml:space="preserve"> </w:t>
      </w:r>
      <w:r>
        <w:t xml:space="preserve">Achieving recognition for complex cataract and refractive surgeries.</w:t>
      </w:r>
    </w:p>
    <w:p>
      <w:pPr>
        <w:numPr>
          <w:ilvl w:val="0"/>
          <w:numId w:val="1001"/>
        </w:numPr>
        <w:pStyle w:val="Compact"/>
      </w:pPr>
      <w:r>
        <w:t xml:space="preserve">Cultural Integration:</w:t>
      </w:r>
    </w:p>
    <w:p>
      <w:pPr>
        <w:numPr>
          <w:ilvl w:val="0"/>
          <w:numId w:val="1000"/>
        </w:numPr>
        <w:pStyle w:val="Compact"/>
      </w:pPr>
      <w:r>
        <w:t xml:space="preserve">s&gt;J</w:t>
      </w:r>
    </w:p>
    <w:p>
      <w:pPr>
        <w:numPr>
          <w:ilvl w:val="0"/>
          <w:numId w:val="1000"/>
        </w:numPr>
        <w:pStyle w:val="Compact"/>
      </w:pPr>
      <w:r>
        <w:t xml:space="preserve">a</w:t>
      </w:r>
      <w:r>
        <w:t xml:space="preserve">pan To</w:t>
      </w:r>
      <w:r>
        <w:t xml:space="preserve">kyo</w:t>
      </w:r>
      <w:r>
        <w:t xml:space="preserve">m: Adapting communication styles to fit the high-context culture of Japan.</w:t>
      </w:r>
    </w:p>
    <w:p>
      <w:pPr>
        <w:numPr>
          <w:ilvl w:val="0"/>
          <w:numId w:val="1001"/>
        </w:numPr>
        <w:pStyle w:val="Compact"/>
      </w:pPr>
      <w:r>
        <w:rPr>
          <w:bCs/>
          <w:b/>
        </w:rPr>
        <w:t xml:space="preserve">Digital Adoption:</w:t>
      </w:r>
      <w:r>
        <w:t xml:space="preserve"> </w:t>
      </w:r>
      <w:r>
        <w:t xml:space="preserve">Leveraging the tech-savviness of</w:t>
      </w:r>
    </w:p>
    <w:p>
      <w:pPr>
        <w:numPr>
          <w:ilvl w:val="0"/>
          <w:numId w:val="1000"/>
        </w:numPr>
        <w:pStyle w:val="Compact"/>
      </w:pPr>
      <w:r>
        <w:t xml:space="preserve">J</w:t>
      </w:r>
    </w:p>
    <w:p>
      <w:pPr>
        <w:numPr>
          <w:ilvl w:val="0"/>
          <w:numId w:val="1000"/>
        </w:numPr>
        <w:pStyle w:val="Compact"/>
      </w:pPr>
      <w:r>
        <w:t xml:space="preserve">a</w:t>
      </w:r>
      <w:r>
        <w:t xml:space="preserve">pan To</w:t>
      </w:r>
      <w:r>
        <w:t xml:space="preserve">kyo</w:t>
      </w:r>
      <w:r>
        <w:t xml:space="preserve">m residents through telemedicine and AI-driven diagnostics.</w:t>
      </w:r>
    </w:p>
    <w:p>
      <w:pPr>
        <w:numPr>
          <w:ilvl w:val="0"/>
          <w:numId w:val="1001"/>
        </w:numPr>
        <w:pStyle w:val="Compact"/>
      </w:pPr>
      <w:r>
        <w:rPr>
          <w:bCs/>
          <w:b/>
        </w:rPr>
        <w:t xml:space="preserve">Patient Retention:</w:t>
      </w:r>
      <w:r>
        <w:t xml:space="preserve"> </w:t>
      </w:r>
      <w:r>
        <w:t xml:space="preserve">Building long-term relationships in a city where word-of-mouth is paramount.</w:t>
      </w:r>
    </w:p>
    <w:bookmarkEnd w:id="21"/>
    <w:bookmarkStart w:id="24" w:name="challenges-in-implementation"/>
    <w:p>
      <w:pPr>
        <w:pStyle w:val="Heading2"/>
      </w:pPr>
      <w:r>
        <w:t xml:space="preserve">3. Challenges in Implementation</w:t>
      </w:r>
    </w:p>
    <w:p>
      <w:pPr>
        <w:pStyle w:val="FirstParagraph"/>
      </w:pPr>
      <w:r>
        <w:t xml:space="preserve">A. Regulatory and Licensing Hurdles in</w:t>
      </w:r>
    </w:p>
    <w:p>
      <w:pPr>
        <w:pStyle w:val="BodyText"/>
      </w:pPr>
      <w:r>
        <w:t xml:space="preserve">J</w:t>
      </w:r>
    </w:p>
    <w:p>
      <w:pPr>
        <w:pStyle w:val="BodyText"/>
      </w:pPr>
      <w:r>
        <w:t xml:space="preserve">a</w:t>
      </w:r>
      <w:r>
        <w:t xml:space="preserve">pan To</w:t>
      </w:r>
      <w:r>
        <w:t xml:space="preserve">kyo</w:t>
      </w:r>
      <w:r>
        <w:t xml:space="preserve">m</w:t>
      </w:r>
    </w:p>
    <w:p>
      <w:pPr>
        <w:pStyle w:val="BodyText"/>
      </w:pPr>
      <w:r>
        <w:t xml:space="preserve">Navigating the Ministry of Health, Labour and Welfare regulations in</w:t>
      </w:r>
    </w:p>
    <w:p>
      <w:pPr>
        <w:pStyle w:val="BodyText"/>
      </w:pPr>
      <w:r>
        <w:t xml:space="preserve">J</w:t>
      </w:r>
    </w:p>
    <w:p>
      <w:pPr>
        <w:pStyle w:val="BodyText"/>
      </w:pPr>
      <w:r>
        <w:t xml:space="preserve">a</w:t>
      </w:r>
      <w:r>
        <w:t xml:space="preserve">pan To</w:t>
      </w:r>
      <w:r>
        <w:t xml:space="preserve">kyo</w:t>
      </w:r>
      <w:r>
        <w:t xml:space="preserve">m requires rigorous documentation. For an international</w:t>
      </w:r>
      <w:r>
        <w:t xml:space="preserve"> </w:t>
      </w:r>
      <w:r>
        <w:rPr>
          <w:bCs/>
          <w:b/>
        </w:rPr>
        <w:t xml:space="preserve">Ophthalmologist</w:t>
      </w:r>
      <w:r>
        <w:t xml:space="preserve">, obtaining medical licensing involves passing comprehensive Japanese medical examinations and demonstrating proficiency in the Japanese language. This barrier ensures that only highly qualified professionals practice, but it significantly delays market entry.</w:t>
      </w:r>
    </w:p>
    <w:bookmarkStart w:id="22" w:name="b.-communication-and-language-barriers"/>
    <w:p>
      <w:pPr>
        <w:pStyle w:val="Heading3"/>
      </w:pPr>
      <w:r>
        <w:t xml:space="preserve">B. Communication and Language Barriers</w:t>
      </w:r>
    </w:p>
    <w:p>
      <w:pPr>
        <w:pStyle w:val="FirstParagraph"/>
      </w:pPr>
      <w:r>
        <w:t xml:space="preserve">In</w:t>
      </w:r>
    </w:p>
    <w:p>
      <w:pPr>
        <w:pStyle w:val="BodyText"/>
      </w:pPr>
      <w:r>
        <w:t xml:space="preserve">J</w:t>
      </w:r>
    </w:p>
    <w:p>
      <w:pPr>
        <w:pStyle w:val="BodyText"/>
      </w:pPr>
      <w:r>
        <w:t xml:space="preserve">a</w:t>
      </w:r>
      <w:r>
        <w:t xml:space="preserve">pan To</w:t>
      </w:r>
      <w:r>
        <w:t xml:space="preserve">kyo</w:t>
      </w:r>
      <w:r>
        <w:t xml:space="preserve">m, the nuance of language is critical. An</w:t>
      </w:r>
      <w:r>
        <w:t xml:space="preserve"> </w:t>
      </w:r>
      <w:r>
        <w:rPr>
          <w:bCs/>
          <w:b/>
        </w:rPr>
        <w:t xml:space="preserve">Ophthalmologist</w:t>
      </w:r>
      <w:r>
        <w:t xml:space="preserve"> </w:t>
      </w:r>
      <w:r>
        <w:t xml:space="preserve">must not only translate medical terms accurately but also convey empathy and reassurance in a way that aligns with local cultural norms. Misinterpretation can lead to patient dissatisfaction or, worse, medical errors.</w:t>
      </w:r>
    </w:p>
    <w:bookmarkEnd w:id="22"/>
    <w:bookmarkStart w:id="23" w:name="c.-high-expectations-for-precision"/>
    <w:p>
      <w:pPr>
        <w:pStyle w:val="Heading3"/>
      </w:pPr>
      <w:r>
        <w:t xml:space="preserve">C. High Expectations for Precision</w:t>
      </w:r>
    </w:p>
    <w:p>
      <w:pPr>
        <w:pStyle w:val="FirstParagraph"/>
      </w:pPr>
      <w:r>
        <w:t xml:space="preserve">Patients in</w:t>
      </w:r>
    </w:p>
    <w:p>
      <w:pPr>
        <w:pStyle w:val="BodyText"/>
      </w:pPr>
      <w:r>
        <w:t xml:space="preserve">J</w:t>
      </w:r>
    </w:p>
    <w:p>
      <w:pPr>
        <w:pStyle w:val="BodyText"/>
      </w:pPr>
      <w:r>
        <w:t xml:space="preserve">a</w:t>
      </w:r>
      <w:r>
        <w:t xml:space="preserve">pan To</w:t>
      </w:r>
      <w:r>
        <w:t xml:space="preserve">kyo</w:t>
      </w:r>
      <w:r>
        <w:t xml:space="preserve">m expect zero-error outcomes. The reputation of an</w:t>
      </w:r>
      <w:r>
        <w:t xml:space="preserve"> </w:t>
      </w:r>
      <w:r>
        <w:rPr>
          <w:bCs/>
          <w:b/>
        </w:rPr>
        <w:t xml:space="preserve">Ophthalmologist</w:t>
      </w:r>
      <w:r>
        <w:t xml:space="preserve"> </w:t>
      </w:r>
      <w:r>
        <w:t xml:space="preserve">is built on the success rate of surgeries and the clarity of post-operative care. Any deviation from expected standards can severely impact patient trust in a city as discerning as Tokyo.</w:t>
      </w:r>
    </w:p>
    <w:bookmarkEnd w:id="23"/>
    <w:bookmarkEnd w:id="24"/>
    <w:bookmarkStart w:id="27" w:name="strategic-solutions-and-implementation"/>
    <w:p>
      <w:pPr>
        <w:pStyle w:val="Heading2"/>
      </w:pPr>
      <w:r>
        <w:t xml:space="preserve">4. Strategic Solutions and Implementation</w:t>
      </w:r>
    </w:p>
    <w:p>
      <w:pPr>
        <w:pStyle w:val="FirstParagraph"/>
      </w:pPr>
      <w:r>
        <w:t xml:space="preserve">To address these challenges, the following strategies were deployed:</w:t>
      </w:r>
    </w:p>
    <w:bookmarkStart w:id="25" w:name="a.-localized-service-model"/>
    <w:p>
      <w:pPr>
        <w:pStyle w:val="Heading3"/>
      </w:pPr>
      <w:r>
        <w:t xml:space="preserve">A. Localized Service Model</w:t>
      </w:r>
    </w:p>
    <w:p>
      <w:pPr>
        <w:pStyle w:val="FirstParagraph"/>
      </w:pPr>
      <w:r>
        <w:t xml:space="preserve">We implemented a bilingual support system where every</w:t>
      </w:r>
      <w:r>
        <w:t xml:space="preserve"> </w:t>
      </w:r>
      <w:r>
        <w:rPr>
          <w:bCs/>
          <w:b/>
        </w:rPr>
        <w:t xml:space="preserve">Ophthalmologist</w:t>
      </w:r>
      <w:r>
        <w:t xml:space="preserve"> </w:t>
      </w:r>
      <w:r>
        <w:t xml:space="preserve">is paired with Japanese-speaking patient coordinators. These coordinators act as cultural bridges, ensuring that instructions regarding post-operative care are understood clearly by patients in</w:t>
      </w:r>
    </w:p>
    <w:p>
      <w:pPr>
        <w:pStyle w:val="BodyText"/>
      </w:pPr>
      <w:r>
        <w:t xml:space="preserve">J</w:t>
      </w:r>
    </w:p>
    <w:p>
      <w:pPr>
        <w:pStyle w:val="BodyText"/>
      </w:pPr>
      <w:r>
        <w:t xml:space="preserve">a</w:t>
      </w:r>
      <w:r>
        <w:t xml:space="preserve">pan To</w:t>
      </w:r>
      <w:r>
        <w:t xml:space="preserve">kyo</w:t>
      </w:r>
      <w:r>
        <w:t xml:space="preserve">m. Additionally, the clinic environment was designed to reflect the Japanese aesthetic of cleanliness and order, providing a calming atmosphere for anxious patients.</w:t>
      </w:r>
    </w:p>
    <w:bookmarkEnd w:id="25"/>
    <w:bookmarkStart w:id="26" w:name="b.-integration-of-advanced-technology"/>
    <w:p>
      <w:pPr>
        <w:pStyle w:val="Heading3"/>
      </w:pPr>
      <w:r>
        <w:t xml:space="preserve">B. Integration of Advanced Technology</w:t>
      </w:r>
    </w:p>
    <w:p>
      <w:pPr>
        <w:pStyle w:val="FirstParagraph"/>
      </w:pPr>
      <w:r>
        <w:t xml:space="preserve">Recognizing that</w:t>
      </w:r>
    </w:p>
    <w:p>
      <w:pPr>
        <w:pStyle w:val="BodyText"/>
      </w:pPr>
      <w:r>
        <w:t xml:space="preserve">J</w:t>
      </w:r>
    </w:p>
    <w:p>
      <w:pPr>
        <w:pStyle w:val="BodyText"/>
      </w:pPr>
      <w:r>
        <w:t xml:space="preserve">a</w:t>
      </w:r>
      <w:r>
        <w:t xml:space="preserve">pan To</w:t>
      </w:r>
      <w:r>
        <w:t xml:space="preserve">kyo</w:t>
      </w:r>
      <w:r>
        <w:t xml:space="preserve">m residents are early adopters of technology, the clinic introduced AI-assisted diagnostic tools for glaucoma and diabetic retinopathy. These tools provide objective data that enhances the</w:t>
      </w:r>
      <w:r>
        <w:t xml:space="preserve"> </w:t>
      </w:r>
      <w:r>
        <w:rPr>
          <w:bCs/>
          <w:b/>
        </w:rPr>
        <w:t xml:space="preserve">Ophthalmologist</w:t>
      </w:r>
      <w:r>
        <w:t xml:space="preserve">’s diagnosis, offering patients in</w:t>
      </w:r>
    </w:p>
    <w:p>
      <w:pPr>
        <w:pStyle w:val="BodyText"/>
      </w:pPr>
      <w:r>
        <w:t xml:space="preserve">J</w:t>
      </w:r>
    </w:p>
    <w:p>
      <w:pPr>
        <w:pStyle w:val="BodyText"/>
      </w:pPr>
      <w:r>
        <w:t xml:space="preserve">a</w:t>
      </w:r>
      <w:r>
        <w:t xml:space="preserve">pan To</w:t>
      </w:r>
      <w:r>
        <w:t xml:space="preserve">kyo</w:t>
      </w:r>
      <w:r>
        <w:t xml:space="preserve">m a sense of security in the accuracy of their treatment plans. Telemedicine platforms were also introduced for follow-up consultations, reducing the need for elderly patients to travel across</w:t>
      </w:r>
    </w:p>
    <w:p>
      <w:pPr>
        <w:pStyle w:val="BodyText"/>
      </w:pPr>
      <w:r>
        <w:t xml:space="preserve">J</w:t>
      </w:r>
    </w:p>
    <w:p>
      <w:pPr>
        <w:pStyle w:val="BodyText"/>
      </w:pPr>
      <w:r>
        <w:t xml:space="preserve">a</w:t>
      </w:r>
      <w:r>
        <w:t xml:space="preserve">pan To</w:t>
      </w:r>
      <w:r>
        <w:t xml:space="preserve">kyo</w:t>
      </w:r>
      <w:r>
        <w:t xml:space="preserve">m.</w:t>
      </w:r>
    </w:p>
    <w:p>
      <w:pPr>
        <w:pStyle w:val="BodyText"/>
      </w:pPr>
      <w:r>
        <w:t xml:space="preserve">C. Community Engagement in</w:t>
      </w:r>
    </w:p>
    <w:p>
      <w:pPr>
        <w:pStyle w:val="BodyText"/>
      </w:pPr>
      <w:r>
        <w:t xml:space="preserve">J</w:t>
      </w:r>
    </w:p>
    <w:p>
      <w:pPr>
        <w:pStyle w:val="BodyText"/>
      </w:pPr>
      <w:r>
        <w:t xml:space="preserve">a</w:t>
      </w:r>
      <w:r>
        <w:t xml:space="preserve">pan To</w:t>
      </w:r>
      <w:r>
        <w:t xml:space="preserve">kyo</w:t>
      </w:r>
      <w:r>
        <w:t xml:space="preserve">m</w:t>
      </w:r>
    </w:p>
    <w:p>
      <w:pPr>
        <w:pStyle w:val="BodyText"/>
      </w:pPr>
      <w:r>
        <w:t xml:space="preserve">To build trust, the</w:t>
      </w:r>
      <w:r>
        <w:t xml:space="preserve"> </w:t>
      </w:r>
      <w:r>
        <w:rPr>
          <w:bCs/>
          <w:b/>
        </w:rPr>
        <w:t xml:space="preserve">Ophthalmologist</w:t>
      </w:r>
      <w:r>
        <w:t xml:space="preserve"> </w:t>
      </w:r>
      <w:r>
        <w:t xml:space="preserve">team participated in community health seminars across various wards of Tokyo. These events focused on preventive eye care for seniors, positioning the practice as a caring community partner rather than just a commercial entity. This approach resonated deeply with local residents in</w:t>
      </w:r>
    </w:p>
    <w:p>
      <w:pPr>
        <w:pStyle w:val="BodyText"/>
      </w:pPr>
      <w:r>
        <w:t xml:space="preserve">J</w:t>
      </w:r>
    </w:p>
    <w:p>
      <w:pPr>
        <w:pStyle w:val="BodyText"/>
      </w:pPr>
      <w:r>
        <w:t xml:space="preserve">a</w:t>
      </w:r>
      <w:r>
        <w:t xml:space="preserve">pan To</w:t>
      </w:r>
      <w:r>
        <w:t xml:space="preserve">kyo</w:t>
      </w:r>
      <w:r>
        <w:t xml:space="preserve">m, leading to increased referrals.</w:t>
      </w:r>
    </w:p>
    <w:bookmarkEnd w:id="26"/>
    <w:bookmarkEnd w:id="27"/>
    <w:bookmarkStart w:id="28" w:name="results-and-outcomes"/>
    <w:p>
      <w:pPr>
        <w:pStyle w:val="Heading2"/>
      </w:pPr>
      <w:r>
        <w:t xml:space="preserve">5. Results and Outcomes</w:t>
      </w:r>
    </w:p>
    <w:p>
      <w:pPr>
        <w:pStyle w:val="FirstParagraph"/>
      </w:pPr>
      <w:r>
        <w:t xml:space="preserve">After twelve months of operation in</w:t>
      </w:r>
    </w:p>
    <w:p>
      <w:pPr>
        <w:pStyle w:val="BodyText"/>
      </w:pPr>
      <w:r>
        <w:t xml:space="preserve">J</w:t>
      </w:r>
    </w:p>
    <w:p>
      <w:pPr>
        <w:pStyle w:val="BodyText"/>
      </w:pPr>
      <w:r>
        <w:t xml:space="preserve">a</w:t>
      </w:r>
      <w:r>
        <w:t xml:space="preserve">pan To</w:t>
      </w:r>
      <w:r>
        <w:t xml:space="preserve">kyo</w:t>
      </w:r>
      <w:r>
        <w:t xml:space="preserve">m, the</w:t>
      </w:r>
      <w:r>
        <w:t xml:space="preserve"> </w:t>
      </w:r>
      <w:r>
        <w:rPr>
          <w:bCs/>
          <w:b/>
        </w:rPr>
        <w:t xml:space="preserve">Ophthalmologist</w:t>
      </w:r>
      <w:r>
        <w:t xml:space="preserve"> </w:t>
      </w:r>
      <w:r>
        <w:t xml:space="preserve">clinic achieved significant milestones:</w:t>
      </w:r>
    </w:p>
    <w:p>
      <w:pPr>
        <w:numPr>
          <w:ilvl w:val="0"/>
          <w:numId w:val="1002"/>
        </w:numPr>
        <w:pStyle w:val="Compact"/>
      </w:pPr>
      <w:r>
        <w:rPr>
          <w:bCs/>
          <w:b/>
        </w:rPr>
        <w:t xml:space="preserve">Patient Volume:</w:t>
      </w:r>
      <w:r>
        <w:t xml:space="preserve"> </w:t>
      </w:r>
      <w:r>
        <w:t xml:space="preserve">A 40% increase in new patient registrations compared to initial projections.</w:t>
      </w:r>
    </w:p>
    <w:p>
      <w:pPr>
        <w:numPr>
          <w:ilvl w:val="0"/>
          <w:numId w:val="1002"/>
        </w:numPr>
        <w:pStyle w:val="Compact"/>
      </w:pPr>
      <w:r>
        <w:rPr>
          <w:bCs/>
          <w:b/>
        </w:rPr>
        <w:t xml:space="preserve">Surgical Success Rate:</w:t>
      </w:r>
      <w:r>
        <w:t xml:space="preserve">A maintained success rate of 98.5% for cataract surgeries, aligning with the highest standards in Japan.</w:t>
      </w:r>
    </w:p>
    <w:p>
      <w:pPr>
        <w:numPr>
          <w:ilvl w:val="0"/>
          <w:numId w:val="1002"/>
        </w:numPr>
        <w:pStyle w:val="Compact"/>
      </w:pPr>
      <w:r>
        <w:rPr>
          <w:bCs/>
          <w:b/>
        </w:rPr>
        <w:t xml:space="preserve">Patient Satisfaction:</w:t>
      </w:r>
      <w:r>
        <w:t xml:space="preserve"> </w:t>
      </w:r>
      <w:r>
        <w:t xml:space="preserve">High scores in post-visit surveys, particularly regarding communication clarity and empathy.</w:t>
      </w:r>
    </w:p>
    <w:p>
      <w:pPr>
        <w:numPr>
          <w:ilvl w:val="0"/>
          <w:numId w:val="1002"/>
        </w:numPr>
        <w:pStyle w:val="Compact"/>
      </w:pPr>
      <w:r>
        <w:rPr>
          <w:bCs/>
          <w:b/>
        </w:rPr>
        <w:t xml:space="preserve">Cultural Acceptance:</w:t>
      </w:r>
      <w:r>
        <w:t xml:space="preserve">The clinic became recognized as a trusted name for eye care in</w:t>
      </w:r>
    </w:p>
    <w:p>
      <w:pPr>
        <w:numPr>
          <w:ilvl w:val="0"/>
          <w:numId w:val="1000"/>
        </w:numPr>
        <w:pStyle w:val="Compact"/>
      </w:pPr>
      <w:r>
        <w:t xml:space="preserve">J</w:t>
      </w:r>
    </w:p>
    <w:p>
      <w:pPr>
        <w:numPr>
          <w:ilvl w:val="0"/>
          <w:numId w:val="1000"/>
        </w:numPr>
        <w:pStyle w:val="Compact"/>
      </w:pPr>
      <w:r>
        <w:t xml:space="preserve">a</w:t>
      </w:r>
      <w:r>
        <w:t xml:space="preserve">pan To</w:t>
      </w:r>
      <w:r>
        <w:t xml:space="preserve">kyo</w:t>
      </w:r>
      <w:r>
        <w:t xml:space="preserve">m, with many local influencers and community leaders choosing the service.</w:t>
      </w:r>
    </w:p>
    <w:bookmarkEnd w:id="28"/>
    <w:bookmarkStart w:id="29" w:name="conclusion"/>
    <w:p>
      <w:pPr>
        <w:pStyle w:val="Heading2"/>
      </w:pPr>
      <w:r>
        <w:t xml:space="preserve">6. Conclusion</w:t>
      </w:r>
    </w:p>
    <w:p>
      <w:pPr>
        <w:pStyle w:val="FirstParagraph"/>
      </w:pPr>
      <w:r>
        <w:t xml:space="preserve">This case study demonstrates that establishing a successful</w:t>
      </w:r>
      <w:r>
        <w:t xml:space="preserve"> </w:t>
      </w:r>
      <w:r>
        <w:rPr>
          <w:bCs/>
          <w:b/>
        </w:rPr>
        <w:t xml:space="preserve">Ophthalmologist</w:t>
      </w:r>
      <w:r>
        <w:t xml:space="preserve"> </w:t>
      </w:r>
      <w:r>
        <w:t xml:space="preserve">practice in</w:t>
      </w:r>
    </w:p>
    <w:p>
      <w:pPr>
        <w:pStyle w:val="BodyText"/>
      </w:pPr>
      <w:r>
        <w:t xml:space="preserve">J</w:t>
      </w:r>
    </w:p>
    <w:p>
      <w:pPr>
        <w:pStyle w:val="BodyText"/>
      </w:pPr>
      <w:r>
        <w:t xml:space="preserve">a</w:t>
      </w:r>
      <w:r>
        <w:t xml:space="preserve">pan To</w:t>
      </w:r>
      <w:r>
        <w:t xml:space="preserve">kyo</w:t>
      </w:r>
      <w:r>
        <w:t xml:space="preserve">m requires a holistic approach. It is not sufficient to have clinical expertise; one must also respect and integrate into the cultural fabric of</w:t>
      </w:r>
    </w:p>
    <w:p>
      <w:pPr>
        <w:pStyle w:val="BodyText"/>
      </w:pPr>
      <w:r>
        <w:t xml:space="preserve">J</w:t>
      </w:r>
    </w:p>
    <w:p>
      <w:pPr>
        <w:pStyle w:val="BodyText"/>
      </w:pPr>
      <w:r>
        <w:t xml:space="preserve">a</w:t>
      </w:r>
      <w:r>
        <w:t xml:space="preserve">pan To</w:t>
      </w:r>
      <w:r>
        <w:t xml:space="preserve">kyo</w:t>
      </w:r>
      <w:r>
        <w:t xml:space="preserve">m. By prioritizing patient communication, leveraging local technological trends, and adhering to strict quality standards, an ophthalmology center can thrive in this challenging yet rewarding market. The synergy between medical excellence and cultural intelligence is the key to sustainable growth for any</w:t>
      </w:r>
      <w:r>
        <w:t xml:space="preserve"> </w:t>
      </w:r>
      <w:r>
        <w:rPr>
          <w:bCs/>
          <w:b/>
        </w:rPr>
        <w:t xml:space="preserve">Ophthalmologist</w:t>
      </w:r>
      <w:r>
        <w:t xml:space="preserve"> </w:t>
      </w:r>
      <w:r>
        <w:t xml:space="preserve">operating in</w:t>
      </w:r>
    </w:p>
    <w:p>
      <w:pPr>
        <w:pStyle w:val="BodyText"/>
      </w:pPr>
      <w:r>
        <w:t xml:space="preserve">J</w:t>
      </w:r>
    </w:p>
    <w:p>
      <w:pPr>
        <w:pStyle w:val="BodyText"/>
      </w:pPr>
      <w:r>
        <w:t xml:space="preserve">a</w:t>
      </w:r>
      <w:r>
        <w:t xml:space="preserve">pan To</w:t>
      </w:r>
      <w:r>
        <w:t xml:space="preserve">kyo</w:t>
      </w:r>
      <w:r>
        <w:t xml:space="preserve">m. Future expansions should continue to focus on preventive care and digital health integration, further cementing the clinic’s role as a leader in eye health within</w:t>
      </w:r>
    </w:p>
    <w:p>
      <w:pPr>
        <w:pStyle w:val="BodyText"/>
      </w:pPr>
      <w:r>
        <w:t xml:space="preserve">J</w:t>
      </w:r>
    </w:p>
    <w:p>
      <w:pPr>
        <w:pStyle w:val="BodyText"/>
      </w:pPr>
      <w:r>
        <w:t xml:space="preserve">a</w:t>
      </w:r>
      <w:r>
        <w:t xml:space="preserve">pan To</w:t>
      </w:r>
      <w:r>
        <w:t xml:space="preserve">kyo</w:t>
      </w:r>
      <w:r>
        <w:t xml:space="preserve">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Ophthalmology Services in Japan Tokyo</dc:title>
  <dc:creator/>
  <dc:language>en</dc:language>
  <cp:keywords/>
  <dcterms:created xsi:type="dcterms:W3CDTF">2026-07-29T07:38:46Z</dcterms:created>
  <dcterms:modified xsi:type="dcterms:W3CDTF">2026-07-29T07:38:46Z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