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Advanced</w:t>
      </w:r>
      <w:r>
        <w:t xml:space="preserve"> </w:t>
      </w:r>
      <w:r>
        <w:t xml:space="preserve">Ophthalmological</w:t>
      </w:r>
      <w:r>
        <w:t xml:space="preserve"> </w:t>
      </w:r>
      <w:r>
        <w:t xml:space="preserve">Care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20" w:name="X99f68203f1f124809b0d94cafcdc6043f87081e"/>
    <w:p>
      <w:pPr>
        <w:pStyle w:val="Heading1"/>
      </w:pPr>
      <w:r>
        <w:t xml:space="preserve">A Comprehensive Case Study on the Integration and Impact of a Specialized Ophthalmologist in Mexico City</w:t>
      </w:r>
    </w:p>
    <w:bookmarkEnd w:id="20"/>
    <w:bookmarkStart w:id="21" w:name="date"/>
    <w:p>
      <w:pPr>
        <w:pStyle w:val="Heading2"/>
      </w:pPr>
      <w:r>
        <w:rPr>
          <w:bCs/>
          <w:b/>
        </w:rPr>
        <w:t xml:space="preserve">Date:</w:t>
      </w:r>
    </w:p>
    <w:p>
      <w:pPr>
        <w:pStyle w:val="FirstParagraph"/>
      </w:pPr>
      <w:r>
        <w:t xml:space="preserve">[Current Date]</w:t>
      </w:r>
    </w:p>
    <w:bookmarkEnd w:id="21"/>
    <w:bookmarkStart w:id="22" w:name="subject"/>
    <w:p>
      <w:pPr>
        <w:pStyle w:val="Heading2"/>
      </w:pPr>
      <w:r>
        <w:rPr>
          <w:bCs/>
          <w:b/>
        </w:rPr>
        <w:t xml:space="preserve">Subject:</w:t>
      </w:r>
    </w:p>
    <w:p>
      <w:pPr>
        <w:pStyle w:val="FirstParagraph"/>
      </w:pPr>
      <w:r>
        <w:t xml:space="preserve">Evaluating the Clinical, Economic, and Social Implications of Establishing a High-Tech Ophthalmologist Practice in Mexico City.</w:t>
      </w:r>
    </w:p>
    <w:bookmarkEnd w:id="22"/>
    <w:bookmarkStart w:id="23" w:name="executive-summary"/>
    <w:p>
      <w:pPr>
        <w:pStyle w:val="Heading1"/>
      </w:pPr>
      <w:r>
        <w:t xml:space="preserve">Executive Summary</w:t>
      </w:r>
    </w:p>
    <w:p>
      <w:pPr>
        <w:pStyle w:val="FirstParagraph"/>
      </w:pPr>
      <w:r>
        <w:t xml:space="preserve">This document presents a detailed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case study aimed at analyzing the feasibility, demand, and operational challenges associated with providing advanced eye care services within the bustling metropolis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As urbanization accelerates and digital lifestyles become predominant across Latin America, the prevalence of ocular surface diseases, refractive errors, and age-related degenerative conditions has reached critical levels.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explores how a specialized medical facility can address these needs while navigating the unique healthcare landscape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By examining demographic trends, technological integration, and patient demographics, this report outlines a strategic framework for delivering exceptional ophthalmic care to one of the most populous urban centers in the Americas.</w:t>
      </w:r>
    </w:p>
    <w:bookmarkEnd w:id="23"/>
    <w:bookmarkStart w:id="24" w:name="introduction"/>
    <w:p>
      <w:pPr>
        <w:pStyle w:val="Heading1"/>
      </w:pPr>
      <w:r>
        <w:t xml:space="preserve">1. Introduction</w:t>
      </w:r>
    </w:p>
    <w:p>
      <w:pPr>
        <w:pStyle w:val="FirstParagraph"/>
      </w:pPr>
      <w:r>
        <w:t xml:space="preserve">The visual health of populations is inextricably linked to their quality of life and economic productivity.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a region characterized by its rapid modernization and dense population, the demand for specialized medical services has never been higher.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specifically on the role of an expert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who serves as the cornerstone of this healthcare initiative. The primary objective is to determine how a dedicated ophthalmology center can leverage state-of-the-art diagnostics and surgical interventions to improve visual outcomes for residents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</w:t>
      </w:r>
    </w:p>
    <w:p>
      <w:pPr>
        <w:pStyle w:val="BodyText"/>
      </w:pPr>
      <w:r>
        <w:t xml:space="preserve">The scope of this analysis covers patient acquisition, clinical workflow optimization, equipment procurement, and community engagement. It highlights the specific challenges faced by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practicing in a high-volume urban environment like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where traffic congestion and air pollution contribute significantly to respiratory and ocular health issues.</w:t>
      </w:r>
    </w:p>
    <w:bookmarkEnd w:id="24"/>
    <w:bookmarkStart w:id="25" w:name="Xa457191e9f01ce6f7c7a6c0a2507ae55c95502f"/>
    <w:p>
      <w:pPr>
        <w:pStyle w:val="Heading1"/>
      </w:pPr>
      <w:r>
        <w:t xml:space="preserve">2. Market Analysis: The Context of Mexico Mexico City</w:t>
      </w:r>
    </w:p>
    <w:p>
      <w:pPr>
        <w:pStyle w:val="FirstParagraph"/>
      </w:pPr>
      <w:r>
        <w:t xml:space="preserve">To understand the necessity of this initiative, one must first analyze the healthcare ecosystem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As the capital and largest city in Mexico, it serves as a hub for medical tourism and national healthcare. However, public health infrastructure often faces overcrowding. Consequently, there is a growing middle class seeking private ophthalmological services that offer shorter wait times and higher technological standards.</w:t>
      </w:r>
    </w:p>
    <w:p>
      <w:pPr>
        <w:pStyle w:val="BodyText"/>
      </w:pPr>
      <w:r>
        <w:rPr>
          <w:bCs/>
          <w:b/>
        </w:rPr>
        <w:t xml:space="preserve">Patient Demographics: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Fatigue:</w:t>
      </w:r>
      <w:r>
        <w:t xml:space="preserve">A significant portion of the population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works in corporate or service sectors requiring prolonged screen time, leading to increased cases of Dry Eye Syndrome and Computer Vision Syndrome.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Aging Population:</w:t>
      </w:r>
      <w:r>
        <w:t xml:space="preserve">The demographic shift toward older adults has resulted in a surge in cataracts, glaucoma, and macular degeneration.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specializing in these conditions is essential for this demographic.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Road Safety Concerns:</w:t>
      </w:r>
      <w:r>
        <w:t xml:space="preserve">Traffic-related accidents are frequent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creating a demand for trauma ophthalmology and post-surgical rehabilitation services.</w:t>
      </w:r>
    </w:p>
    <w:p>
      <w:pPr>
        <w:pStyle w:val="FirstParagraph"/>
      </w:pPr>
      <w:r>
        <w:t xml:space="preserve">This market gap presents a unique opportunity for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to establish a practice that combines medical treatment with preventive education, catering specifically to the lifestyle factors prevalent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</w:t>
      </w:r>
    </w:p>
    <w:bookmarkEnd w:id="25"/>
    <w:bookmarkStart w:id="29" w:name="clinical-scope-and-service-offerings"/>
    <w:p>
      <w:pPr>
        <w:pStyle w:val="Heading1"/>
      </w:pPr>
      <w:r>
        <w:t xml:space="preserve">3. Clinical Scope and Service Offerings</w:t>
      </w:r>
    </w:p>
    <w:p>
      <w:pPr>
        <w:pStyle w:val="FirstParagraph"/>
      </w:pPr>
      <w:r>
        <w:t xml:space="preserve">The proposed model for this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case study involves a comprehensive eye care center. Unlike general optometry,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provides medical and surgical care. The service offerings must be tailored to the specific needs of patients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</w:t>
      </w:r>
    </w:p>
    <w:bookmarkStart w:id="26" w:name="a.-refractive-surgery"/>
    <w:p>
      <w:pPr>
        <w:pStyle w:val="Heading3"/>
      </w:pPr>
      <w:r>
        <w:t xml:space="preserve">A. Refractive Surgery</w:t>
      </w:r>
    </w:p>
    <w:p>
      <w:pPr>
        <w:pStyle w:val="FirstParagraph"/>
      </w:pPr>
      <w:r>
        <w:t xml:space="preserve">Laser vision correction (LASIK/SMILE) is highly sought after by young professionals and athletes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must ensure precision and safety, utilizing FDA-approved lasers to correct myopia, hyperopia, and astigmatism.</w:t>
      </w:r>
    </w:p>
    <w:bookmarkEnd w:id="26"/>
    <w:bookmarkStart w:id="27" w:name="b.-cataract-management"/>
    <w:p>
      <w:pPr>
        <w:pStyle w:val="Heading3"/>
      </w:pPr>
      <w:r>
        <w:t xml:space="preserve">B. Cataract Management</w:t>
      </w:r>
    </w:p>
    <w:p>
      <w:pPr>
        <w:pStyle w:val="FirstParagraph"/>
      </w:pPr>
      <w:r>
        <w:t xml:space="preserve">Cataract surgery remains the most common surgical procedure performed by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. In the context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premium intraocular lenses (IOLs) that correct presbyopia are increasingly popular among retirees who wish to maintain independence without relying on reading glasses.</w:t>
      </w:r>
    </w:p>
    <w:bookmarkEnd w:id="27"/>
    <w:bookmarkStart w:id="28" w:name="c.-retinal-and-glaucoma-care"/>
    <w:p>
      <w:pPr>
        <w:pStyle w:val="Heading3"/>
      </w:pPr>
      <w:r>
        <w:t xml:space="preserve">C. Retinal and Glaucoma Care</w:t>
      </w:r>
    </w:p>
    <w:p>
      <w:pPr>
        <w:pStyle w:val="FirstParagraph"/>
      </w:pPr>
      <w:r>
        <w:t xml:space="preserve">Chronic diseases such as diabetes are prevalent in the region, leading to high rates of Diabetic Retinopathy. A specialized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must be equipped to perform anti-VEGF injections and laser photocoagulation. Furthermore, early detection of glaucoma through OCT (Optical Coherence Tomography) screening is vital for preserving vision in the aging population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</w:t>
      </w:r>
    </w:p>
    <w:bookmarkEnd w:id="28"/>
    <w:bookmarkEnd w:id="29"/>
    <w:bookmarkStart w:id="33" w:name="X029e6812db25faa0aa4522ab31626e00ff88015"/>
    <w:p>
      <w:pPr>
        <w:pStyle w:val="Heading1"/>
      </w:pPr>
      <w:r>
        <w:t xml:space="preserve">4. Operational Challenges and Strategic Solutions</w:t>
      </w:r>
    </w:p>
    <w:p>
      <w:pPr>
        <w:pStyle w:val="FirstParagraph"/>
      </w:pPr>
      <w:r>
        <w:t xml:space="preserve">Executing this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case study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requires navigating specific logistical hurdles.</w:t>
      </w:r>
    </w:p>
    <w:bookmarkStart w:id="30" w:name="traffic-and-accessibility"/>
    <w:p>
      <w:pPr>
        <w:pStyle w:val="Heading3"/>
      </w:pPr>
      <w:r>
        <w:rPr>
          <w:iCs/>
          <w:i/>
        </w:rPr>
        <w:t xml:space="preserve">Traffic and Accessibility:</w:t>
      </w:r>
    </w:p>
    <w:p>
      <w:pPr>
        <w:pStyle w:val="FirstParagraph"/>
      </w:pPr>
      <w:r>
        <w:t xml:space="preserve">The capital is notorious for its traffic. To mitigate patient drop-off rates, the clinic should be located near major public transit hubs or offer telemedicine consultations for follow-up visits, reducing the physical burden on patients traveling across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</w:t>
      </w:r>
    </w:p>
    <w:bookmarkEnd w:id="30"/>
    <w:bookmarkStart w:id="31" w:name="air-quality-impact"/>
    <w:p>
      <w:pPr>
        <w:pStyle w:val="Heading3"/>
      </w:pPr>
      <w:r>
        <w:rPr>
          <w:iCs/>
          <w:i/>
        </w:rPr>
        <w:t xml:space="preserve">Air Quality Impact:</w:t>
      </w:r>
    </w:p>
    <w:p>
      <w:pPr>
        <w:pStyle w:val="FirstParagraph"/>
      </w:pPr>
      <w:r>
        <w:t xml:space="preserve">Smog and particulate matter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exacerbate ocular allergies. The clinic should stock specialized treatments for allergic conjunctivitis and provide educational materials on environmental protection for the eyes, a key value proposition promoted by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.</w:t>
      </w:r>
    </w:p>
    <w:bookmarkEnd w:id="31"/>
    <w:bookmarkStart w:id="32" w:name="talent-acquisition"/>
    <w:p>
      <w:pPr>
        <w:pStyle w:val="Heading3"/>
      </w:pPr>
      <w:r>
        <w:rPr>
          <w:iCs/>
          <w:i/>
        </w:rPr>
        <w:t xml:space="preserve">Talent Acquisition:</w:t>
      </w:r>
    </w:p>
    <w:p>
      <w:pPr>
        <w:pStyle w:val="FirstParagraph"/>
      </w:pPr>
      <w:r>
        <w:t xml:space="preserve">Finding qualified support staff (technicians, nurses)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is generally feasible due to the large medical school infrastructure. However, retaining top talent requires competitive compensation and a supportive work environment.</w:t>
      </w:r>
    </w:p>
    <w:bookmarkEnd w:id="32"/>
    <w:bookmarkEnd w:id="33"/>
    <w:bookmarkStart w:id="34" w:name="economic-viability-and-sustainability"/>
    <w:p>
      <w:pPr>
        <w:pStyle w:val="Heading1"/>
      </w:pPr>
      <w:r>
        <w:t xml:space="preserve">5. Economic Viability and Sustainability</w:t>
      </w:r>
    </w:p>
    <w:p>
      <w:pPr>
        <w:pStyle w:val="FirstParagraph"/>
      </w:pPr>
      <w:r>
        <w:t xml:space="preserve">The financial model for this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practice relies on a mix of private insurance reimbursements and out-of-pocket payments. The healthcare sector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is robust, with many employers offering supplemental health plans that cover specialized procedures.</w:t>
      </w:r>
    </w:p>
    <w:p>
      <w:pPr>
        <w:pStyle w:val="BodyText"/>
      </w:pPr>
      <w:r>
        <w:rPr>
          <w:iCs/>
          <w:i/>
        </w:rPr>
        <w:t xml:space="preserve">Revenue Streams:</w:t>
      </w:r>
    </w:p>
    <w:p>
      <w:pPr>
        <w:numPr>
          <w:ilvl w:val="0"/>
          <w:numId w:val="1002"/>
        </w:numPr>
        <w:pStyle w:val="Compact"/>
      </w:pPr>
      <w:r>
        <w:t xml:space="preserve">Surgical Procedures (Cataract, LASIK): High margin, high volume.</w:t>
      </w:r>
    </w:p>
    <w:p>
      <w:pPr>
        <w:numPr>
          <w:ilvl w:val="0"/>
          <w:numId w:val="1002"/>
        </w:numPr>
        <w:pStyle w:val="Compact"/>
      </w:pPr>
      <w:r>
        <w:t xml:space="preserve">Ongoing Medical Management (Glaucoma, Diabetes): Recurring revenue from prescription refills and monitoring visits.</w:t>
      </w:r>
    </w:p>
    <w:p>
      <w:pPr>
        <w:numPr>
          <w:ilvl w:val="0"/>
          <w:numId w:val="1002"/>
        </w:numPr>
        <w:pStyle w:val="Compact"/>
      </w:pPr>
      <w:r>
        <w:t xml:space="preserve">Pediatric Care: Vision screening for school-aged children is a growing sector in urban areas like those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</w:t>
      </w:r>
    </w:p>
    <w:p>
      <w:pPr>
        <w:pStyle w:val="FirstParagraph"/>
      </w:pPr>
      <w:r>
        <w:t xml:space="preserve">This diversified approach ensures stability for the clinic, allowing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to invest continuously in new technology such as Femtosecond lasers and AI-driven diagnostic tools.</w:t>
      </w:r>
    </w:p>
    <w:bookmarkEnd w:id="34"/>
    <w:bookmarkStart w:id="35" w:name="conclusion-and-recommendations"/>
    <w:p>
      <w:pPr>
        <w:pStyle w:val="Heading1"/>
      </w:pPr>
      <w:r>
        <w:t xml:space="preserve">6. Conclusion and Recommendations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case study confirms that there is a substantial need for specialized, high-quality eye care services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The convergence of an aging population, a digitally active workforce, and environmental health challenges creates a perfect storm for ocular pathology. However, it also presents an unparalleled opportunity for medical professionals dedicated to restoring sight.</w:t>
      </w:r>
    </w:p>
    <w:p>
      <w:pPr>
        <w:pStyle w:val="BodyText"/>
      </w:pPr>
      <w:r>
        <w:rPr>
          <w:iCs/>
          <w:i/>
        </w:rPr>
        <w:t xml:space="preserve">Key Takeaways:</w:t>
      </w:r>
    </w:p>
    <w:p>
      <w:pPr>
        <w:numPr>
          <w:ilvl w:val="0"/>
          <w:numId w:val="1003"/>
        </w:numPr>
        <w:pStyle w:val="Compact"/>
      </w:pPr>
      <w:r>
        <w:t xml:space="preserve">A specialized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is essential for addressing the complex visual health needs of modern urbanites.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Mexico Mexico City</w:t>
      </w:r>
      <w:r>
        <w:t xml:space="preserve"> </w:t>
      </w:r>
      <w:r>
        <w:t xml:space="preserve">offers a large, accessible patient base but requires strategic location planning and efficient workflow management.</w:t>
      </w:r>
    </w:p>
    <w:p>
      <w:pPr>
        <w:numPr>
          <w:ilvl w:val="0"/>
          <w:numId w:val="1003"/>
        </w:numPr>
        <w:pStyle w:val="Compact"/>
      </w:pPr>
      <w:r>
        <w:t xml:space="preserve">Tech-integrated care, combined with personalized patient education regarding environmental factors like smog, will differentiate this practice from competitors.</w:t>
      </w:r>
    </w:p>
    <w:p>
      <w:pPr>
        <w:pStyle w:val="FirstParagraph"/>
      </w:pPr>
      <w:r>
        <w:t xml:space="preserve">In conclusion, establishing a premier ophthalmology center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is not only financially viable but socially impactful. By focusing on clinical excellence and community health education,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can significantly improve the visual quality of life for thousands of residents in this dynamic Mexican capital.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serves as a foundational case study for stakeholders, investors, and medical professionals interested in expanding ophthalmological services within the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Mexico Mexico City</w:t>
      </w:r>
      <w:r>
        <w:rPr>
          <w:iCs/>
          <w:i/>
        </w:rPr>
        <w:t xml:space="preserve"> </w:t>
      </w:r>
      <w:r>
        <w:rPr>
          <w:iCs/>
          <w:i/>
        </w:rPr>
        <w:t xml:space="preserve">region.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Advanced Ophthalmological Care in Mexico City</dc:title>
  <dc:creator/>
  <dc:language>en</dc:language>
  <cp:keywords/>
  <dcterms:created xsi:type="dcterms:W3CDTF">2026-07-29T12:41:21Z</dcterms:created>
  <dcterms:modified xsi:type="dcterms:W3CDTF">2026-07-29T12:41:21Z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