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Ophthalmological</w:t>
      </w:r>
      <w:r>
        <w:t xml:space="preserve"> </w:t>
      </w:r>
      <w:r>
        <w:t xml:space="preserve">Care</w:t>
      </w:r>
      <w:r>
        <w:t xml:space="preserve"> </w:t>
      </w:r>
      <w:r>
        <w:t xml:space="preserve">in</w:t>
      </w:r>
      <w:r>
        <w:t xml:space="preserve"> </w:t>
      </w:r>
      <w:r>
        <w:t xml:space="preserve">New</w:t>
      </w:r>
      <w:r>
        <w:t xml:space="preserve"> </w:t>
      </w:r>
      <w:r>
        <w:t xml:space="preserve">Zealand</w:t>
      </w:r>
      <w:r>
        <w:t xml:space="preserve"> </w:t>
      </w:r>
      <w:r>
        <w:t xml:space="preserve">Auckland</w:t>
      </w:r>
    </w:p>
    <w:bookmarkStart w:id="32" w:name="X0f3770a6371e84754debc56cd6b36e1da7360ef"/>
    <w:p>
      <w:pPr>
        <w:pStyle w:val="Heading1"/>
      </w:pPr>
      <w:r>
        <w:t xml:space="preserve">Case Study Implementing a HighThroughput Ophthalmology Service in New Zealand Auckland</w:t>
      </w:r>
    </w:p>
    <w:p>
      <w:pPr>
        <w:pStyle w:val="FirstParagraph"/>
      </w:pPr>
      <w:r>
        <w:rPr>
          <w:bCs/>
          <w:b/>
        </w:rPr>
        <w:t xml:space="preserve">Date:</w:t>
      </w:r>
      <w:r>
        <w:t xml:space="preserve"> </w:t>
      </w:r>
      <w:r>
        <w:t xml:space="preserve">October 2023</w:t>
      </w:r>
      <w:r>
        <w:br/>
      </w:r>
    </w:p>
    <w:p>
      <w:pPr>
        <w:pStyle w:val="BodyText"/>
      </w:pPr>
      <w:r>
        <w:t xml:space="preserve">Location:</w:t>
      </w:r>
    </w:p>
    <w:p>
      <w:pPr>
        <w:pStyle w:val="BodyText"/>
      </w:pPr>
      <w:r>
        <w:t xml:space="preserve">1. Executive SummaryThis case study explores the strategic implementation of a specialized ophthalmology clinic within the urban healthcare landscape of New Zealand Auckland. As one of the most rapidly growing metropolitan regions in Australasia, New Zealand Auckland presents unique challenges and opportunities regarding patient volume, demographic diversity, and clinical demand. The primary objective was to establish an efficient outpatient system capable managing high volumes of routine cataract surgeries complex retinal diseases while maintaining exceptional standards of care compliant with Te Whatu Ora (Health New Zealand guidelines. Through integrated technology adoption staff training focusing on cultural competency the clinic achieved a 30% reduction in wait times within eighteen months demonstrating best practices for ophthalmology service delivery in this specific geographic context.</w:t>
      </w:r>
    </w:p>
    <w:bookmarkStart w:id="20" w:name="background-and-context"/>
    <w:p>
      <w:pPr>
        <w:pStyle w:val="Heading2"/>
      </w:pPr>
      <w:r>
        <w:t xml:space="preserve">2. Background and Context</w:t>
      </w:r>
    </w:p>
    <w:p>
      <w:pPr>
        <w:pStyle w:val="FirstParagraph"/>
      </w:pPr>
      <w:r>
        <w:t xml:space="preserve">The healthcare system in New Zealand is characterized by a mix of public and private funding models with significant regional variations. In New Zealand Auckland the population is projected to surpass two million residents by the end of this decade leading unprecedented pressure on specialist services Ophthalmology particularly has seen a surge in demand driven primarily by an aging population suffering from age-related macular degeneration AMD cataracts and diabetic retinopathy Furthermore due to its status as a major hub New Zealand Auckland attracts patients from surrounding rural regions further straining local resources The need for streamlined pathways accurate diagnostics and timely surgical interventions became critical.</w:t>
      </w:r>
    </w:p>
    <w:bookmarkEnd w:id="20"/>
    <w:bookmarkStart w:id="21" w:name="problem-statement"/>
    <w:p>
      <w:pPr>
        <w:pStyle w:val="Heading2"/>
      </w:pPr>
      <w:r>
        <w:t xml:space="preserve">3. Problem Statement</w:t>
      </w:r>
    </w:p>
    <w:p>
      <w:pPr>
        <w:pStyle w:val="FirstParagraph"/>
      </w:pPr>
      <w:r>
        <w:t xml:space="preserve">Before the initiation of this case study pilot program existing ophthalmology services in the region faced several bottlenecks:</w:t>
      </w:r>
    </w:p>
    <w:p>
      <w:pPr>
        <w:pStyle w:val="BodyText"/>
      </w:pPr>
      <w:r>
        <w:t xml:space="preserve">Prolonged Wait Times: Patients awaiting routine cataract assessments often waited six to nine months delaying quality of life improvements.Inefficient Triage Processes: Lack of standardized triage criteria led to inappropriate allocation of specialist time resources.Digital Fragmentation: Disconnected electronic health records EHR systems hindered seamless communication between general practitioners GPs optometrists and ophthalmologists.</w:t>
      </w:r>
    </w:p>
    <w:p>
      <w:pPr>
        <w:pStyle w:val="BodyText"/>
      </w:pPr>
      <w:r>
        <w:t xml:space="preserve">These issues were compounded by the geographic spread across New Zealand Auckland requiring patients to travel significant distances for follow-up appointments exacerbating both economic burden and clinical anxiety.</w:t>
      </w:r>
    </w:p>
    <w:bookmarkEnd w:id="21"/>
    <w:bookmarkStart w:id="25" w:name="strategic-approach"/>
    <w:p>
      <w:pPr>
        <w:pStyle w:val="Heading2"/>
      </w:pPr>
      <w:r>
        <w:t xml:space="preserve">4. Strategic Approach</w:t>
      </w:r>
    </w:p>
    <w:bookmarkStart w:id="22" w:name="X59ce979297e69f5fe2db3ab359cda4ad9ac5c80"/>
    <w:p>
      <w:pPr>
        <w:pStyle w:val="Heading3"/>
      </w:pPr>
      <w:r>
        <w:t xml:space="preserve">A. Infrastructure and Technology Integration</w:t>
      </w:r>
    </w:p>
    <w:p>
      <w:pPr>
        <w:pStyle w:val="FirstParagraph"/>
      </w:pPr>
      <w:r>
        <w:t xml:space="preserve">The core of the solution involved deploying state-of-the-art diagnostic equipment including Optical Coherence Tomography OCT and wide-field fundus cameras capable of capturing detailed retinal imagery remotely. This enabled tele-ophthalmology consultations reducing the need for physical visits especially beneficial for elderly or mobility-limited patients across New Zealand Auckland.</w:t>
      </w:r>
    </w:p>
    <w:bookmarkEnd w:id="22"/>
    <w:bookmarkStart w:id="23" w:name="b.-enhanced-triage-protocols"/>
    <w:p>
      <w:pPr>
        <w:pStyle w:val="Heading3"/>
      </w:pPr>
      <w:r>
        <w:t xml:space="preserve">B. Enhanced Triage Protocols</w:t>
      </w:r>
    </w:p>
    <w:p>
      <w:pPr>
        <w:pStyle w:val="FirstParagraph"/>
      </w:pPr>
      <w:r>
        <w:t xml:space="preserve">A new clinical decision support system was implemented to automate initial patient assessments GPs could submit digital referrals with structured data allowing automated flagging of urgent cases such as suspected glaucoma or acute retinal detachments ensuring immediate attention from senior consultants.</w:t>
      </w:r>
    </w:p>
    <w:bookmarkEnd w:id="23"/>
    <w:bookmarkStart w:id="24" w:name="c.-multidisciplinary-collaboration"/>
    <w:p>
      <w:pPr>
        <w:pStyle w:val="Heading3"/>
      </w:pPr>
      <w:r>
        <w:t xml:space="preserve">C. Multidisciplinary Collaboration</w:t>
      </w:r>
    </w:p>
    <w:p>
      <w:pPr>
        <w:pStyle w:val="FirstParagraph"/>
      </w:pPr>
      <w:r>
        <w:t xml:space="preserve">Recognizing the diverse cultural makeup of New Zealand Auckland including significant Māori and Pasifika populations training modules were developed to enhance cultural safety and communication skills among medical staff Partnership with local iwi leaders ensured that service delivery aligned with community values fostering trust and improving patient compliance.</w:t>
      </w:r>
    </w:p>
    <w:bookmarkEnd w:id="24"/>
    <w:bookmarkEnd w:id="25"/>
    <w:bookmarkStart w:id="26" w:name="implementation-phase"/>
    <w:p>
      <w:pPr>
        <w:pStyle w:val="Heading2"/>
      </w:pPr>
      <w:r>
        <w:t xml:space="preserve">5. Implementation Phase</w:t>
      </w:r>
    </w:p>
    <w:p>
      <w:pPr>
        <w:pStyle w:val="FirstParagraph"/>
      </w:pPr>
      <w:r>
        <w:t xml:space="preserve">The rollout occurred over twelve months divided into three phases:</w:t>
      </w:r>
    </w:p>
    <w:p>
      <w:pPr>
        <w:pStyle w:val="BodyText"/>
      </w:pPr>
      <w:r>
        <w:t xml:space="preserve">Phase One: Equipment installation software integration pilot testing involving fifty patients.Phase Two: Staff training comprehensive workshops on new protocols telemedicine platforms cultural competence exercises.Phase ThreeFull-scale launch monitoring feedback loops adjusting workflows based on real-time analytics.</w:t>
      </w:r>
    </w:p>
    <w:bookmarkEnd w:id="26"/>
    <w:bookmarkStart w:id="27" w:name="results-and-outcomes"/>
    <w:p>
      <w:pPr>
        <w:pStyle w:val="Heading2"/>
      </w:pPr>
      <w:r>
        <w:t xml:space="preserve">6. Results and Outcomes</w:t>
      </w:r>
    </w:p>
    <w:p>
      <w:pPr>
        <w:pStyle w:val="FirstParagraph"/>
      </w:pPr>
      <w:r>
        <w:t xml:space="preserve">Wait Time Reduction:</w:t>
      </w:r>
      <w:r>
        <w:rPr>
          <w:bCs/>
          <w:b/>
        </w:rPr>
        <w:t xml:space="preserve">Patient Satisfaction Scores:</w:t>
      </w:r>
      <w:r>
        <w:t xml:space="preserve">Survey responses indicated a 92% satisfaction rate attributed largely reduced travel burden thanks telehealth options improved clarity treatment plans.</w:t>
      </w:r>
    </w:p>
    <w:p>
      <w:pPr>
        <w:pStyle w:val="BodyText"/>
      </w:pPr>
      <w:r>
        <w:rPr>
          <w:bCs/>
          <w:b/>
        </w:rPr>
        <w:t xml:space="preserve">Clinical Efficiency:</w:t>
      </w:r>
      <w:r>
        <w:t xml:space="preserve">Surgeon utilization rates increased by 25 due optimized scheduling algorithms minimizing idle time between procedures.</w:t>
      </w:r>
      <w:r>
        <w:rPr>
          <w:bCs/>
          <w:b/>
        </w:rPr>
        <w:t xml:space="preserve">Early Detection Rates:</w:t>
      </w:r>
      <w:r>
        <w:t xml:space="preserve">Screening programs targeting diabetic retinopathy identified cases earlier resulting in timely interventions preventing blindness in 15% of screened high-risk individuals.</w:t>
      </w:r>
    </w:p>
    <w:bookmarkEnd w:id="27"/>
    <w:bookmarkStart w:id="28" w:name="challenges-encountered"/>
    <w:p>
      <w:pPr>
        <w:pStyle w:val="Heading2"/>
      </w:pPr>
      <w:r>
        <w:t xml:space="preserve">7. Challenges Encountered</w:t>
      </w:r>
    </w:p>
    <w:p>
      <w:pPr>
        <w:pStyle w:val="FirstParagraph"/>
      </w:pPr>
      <w:r>
        <w:t xml:space="preserve">Despite successes several hurdles emerged:</w:t>
      </w:r>
    </w:p>
    <w:p>
      <w:pPr>
        <w:pStyle w:val="BodyText"/>
      </w:pPr>
      <w:r>
        <w:t xml:space="preserve">Digital Divide: Not all patients had access to reliable internet necessary for telehealth consultations prompting development offline data capture tools later synced upon clinic visit.Staff Burnout: Initial transition periods caused temporary increases in workload leading to fatigue among junior doctors mitigated through additional support hires flexible shift patterns.</w:t>
      </w:r>
    </w:p>
    <w:bookmarkEnd w:id="28"/>
    <w:bookmarkStart w:id="29" w:name="lessons-learned"/>
    <w:p>
      <w:pPr>
        <w:pStyle w:val="Heading2"/>
      </w:pPr>
      <w:r>
        <w:t xml:space="preserve">8. Lessons Learned</w:t>
      </w:r>
    </w:p>
    <w:p>
      <w:pPr>
        <w:pStyle w:val="FirstParagraph"/>
      </w:pPr>
      <w:r>
        <w:t xml:space="preserve">This case study highlights several key takeaways for expanding ophthalmology services in New Zealand Auckland:</w:t>
      </w:r>
    </w:p>
    <w:p>
      <w:pPr>
        <w:pStyle w:val="BodyText"/>
      </w:pPr>
      <w:r>
        <w:t xml:space="preserve">Tech-Enabled Care is Essential: Investing in digital infrastructure pays dividends long-term efficiency patient engagement.Cultural Competency Cannot Be Overlooked: Tailoring services to reflect local demographics builds trust improves outcomes.</w:t>
      </w:r>
    </w:p>
    <w:bookmarkEnd w:id="29"/>
    <w:bookmarkStart w:id="30" w:name="conclusion"/>
    <w:p>
      <w:pPr>
        <w:pStyle w:val="Heading2"/>
      </w:pPr>
      <w:r>
        <w:t xml:space="preserve">9. Conclusion</w:t>
      </w:r>
    </w:p>
    <w:p>
      <w:pPr>
        <w:pStyle w:val="FirstParagraph"/>
      </w:pPr>
      <w:r>
        <w:t xml:space="preserve">The successful transformation of ophthalmology service delivery in New Zealand Auckland demonstrates that even under constrained resources innovative approaches can yield significant benefits By leveraging technology enhancing collaboration prioritizing cultural awareness providers can meet rising demands effectively This model offers a replicable framework for other regions facing similar challenges ensuring equitable access high-quality eye care for all residents of New Zealand Auckland.</w:t>
      </w:r>
    </w:p>
    <w:bookmarkEnd w:id="30"/>
    <w:bookmarkStart w:id="31" w:name="recommendations"/>
    <w:p>
      <w:pPr>
        <w:pStyle w:val="Heading2"/>
      </w:pPr>
      <w:r>
        <w:t xml:space="preserve">10. Recommendations</w:t>
      </w:r>
    </w:p>
    <w:p>
      <w:pPr>
        <w:pStyle w:val="FirstParagraph"/>
      </w:pPr>
      <w:r>
        <w:t xml:space="preserve">To sustain momentum further investments are recommended in continuous professional development expanded telehealth reach partnerships with primary care networks Additionally ongoing evaluation should focus on longterm health outcomes costeffectiveness equity metrics ensuring alignment broader public health goals throughout New Zealand Auckland.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Ophthalmological Care in New Zealand Auckland</dc:title>
  <dc:creator/>
  <dc:language>en</dc:language>
  <cp:keywords/>
  <dcterms:created xsi:type="dcterms:W3CDTF">2026-07-29T17:16:58Z</dcterms:created>
  <dcterms:modified xsi:type="dcterms:W3CDTF">2026-07-29T17:16:58Z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