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Implementation</w:t>
      </w:r>
      <w:r>
        <w:t xml:space="preserve"> </w:t>
      </w:r>
      <w:r>
        <w:t xml:space="preserve">of</w:t>
      </w:r>
      <w:r>
        <w:t xml:space="preserve"> </w:t>
      </w:r>
      <w:r>
        <w:t xml:space="preserve">Advanced</w:t>
      </w:r>
      <w:r>
        <w:t xml:space="preserve"> </w:t>
      </w:r>
      <w:r>
        <w:t xml:space="preserve">Ophthalmological</w:t>
      </w:r>
      <w:r>
        <w:t xml:space="preserve"> </w:t>
      </w:r>
      <w:r>
        <w:t xml:space="preserve">Services</w:t>
      </w:r>
      <w:r>
        <w:t xml:space="preserve"> </w:t>
      </w:r>
      <w:r>
        <w:t xml:space="preserve">in</w:t>
      </w:r>
      <w:r>
        <w:t xml:space="preserve"> </w:t>
      </w:r>
      <w:r>
        <w:t xml:space="preserve">Russia,</w:t>
      </w:r>
      <w:r>
        <w:t xml:space="preserve"> </w:t>
      </w:r>
      <w:r>
        <w:t xml:space="preserve">Moscow</w:t>
      </w:r>
    </w:p>
    <w:bookmarkStart w:id="30" w:name="Xa3176c0b9b6a2152538fa29af61ee769269b6e7"/>
    <w:p>
      <w:pPr>
        <w:pStyle w:val="Heading1"/>
      </w:pPr>
      <w:r>
        <w:t xml:space="preserve">Case Study: Strategic Implementation of Advanced Ophthalmological Services in Russia, Moscow</w:t>
      </w:r>
    </w:p>
    <w:bookmarkStart w:id="20" w:name="executive-summary"/>
    <w:p>
      <w:pPr>
        <w:pStyle w:val="Heading2"/>
      </w:pPr>
      <w:r>
        <w:t xml:space="preserve">1. Executive Summary</w:t>
      </w:r>
    </w:p>
    <w:p>
      <w:pPr>
        <w:pStyle w:val="FirstParagraph"/>
      </w:pPr>
      <w:r>
        <w:t xml:space="preserve">This case study examines the strategic expansion and operational integration of a high-end private ophthalmology clinic within the dynamic healthcare landscape of Russia, specifically focusing on the capital city, Moscow. The primary objective is to analyze how international medical standards can be successfully adapted to meet the unique demographic, economic, and regulatory demands of patients in this major metropolitan hub. As an</w:t>
      </w:r>
      <w:r>
        <w:t xml:space="preserve"> </w:t>
      </w:r>
      <w:r>
        <w:rPr>
          <w:bCs/>
          <w:b/>
        </w:rPr>
        <w:t xml:space="preserve">Ophthalmologist</w:t>
      </w:r>
      <w:r>
        <w:t xml:space="preserve"> </w:t>
      </w:r>
      <w:r>
        <w:t xml:space="preserve">specializing in complex surgical and diagnostic procedures, the approach taken here highlights the necessity of combining cutting-edge technology with localized cultural sensitivity. The study underscores that success in</w:t>
      </w:r>
      <w:r>
        <w:t xml:space="preserve"> </w:t>
      </w:r>
      <w:r>
        <w:rPr>
          <w:bCs/>
          <w:b/>
        </w:rPr>
        <w:t xml:space="preserve">Russia Moscow</w:t>
      </w:r>
      <w:r>
        <w:t xml:space="preserve"> </w:t>
      </w:r>
      <w:r>
        <w:t xml:space="preserve">requires more than just clinical excellence; it demands a nuanced understanding of local patient expectations, insurance structures, and competitive market dynamics.</w:t>
      </w:r>
    </w:p>
    <w:bookmarkEnd w:id="20"/>
    <w:bookmarkStart w:id="21" w:name="background-and-context"/>
    <w:p>
      <w:pPr>
        <w:pStyle w:val="Heading2"/>
      </w:pPr>
      <w:r>
        <w:t xml:space="preserve">2. Background and Context</w:t>
      </w:r>
    </w:p>
    <w:p>
      <w:pPr>
        <w:pStyle w:val="FirstParagraph"/>
      </w:pPr>
      <w:r>
        <w:t xml:space="preserve">Moscow represents one of the most competitive healthcare markets in Eastern Europe. With a population exceeding 13 million, the city has a dense concentration of both state-funded and private medical institutions. The demand for ophthalmological care is rising due to an aging population suffering from cataracts and glaucoma, as well as a younger demographic increasingly concerned with refractive errors exacerbated by digital screen usage. For any</w:t>
      </w:r>
      <w:r>
        <w:t xml:space="preserve"> </w:t>
      </w:r>
      <w:r>
        <w:rPr>
          <w:bCs/>
          <w:b/>
        </w:rPr>
        <w:t xml:space="preserve">Ophthalmologist</w:t>
      </w:r>
      <w:r>
        <w:t xml:space="preserve"> </w:t>
      </w:r>
      <w:r>
        <w:t xml:space="preserve">looking to establish or expand operations in this region, the context of</w:t>
      </w:r>
      <w:r>
        <w:t xml:space="preserve"> </w:t>
      </w:r>
      <w:r>
        <w:rPr>
          <w:bCs/>
          <w:b/>
        </w:rPr>
        <w:t xml:space="preserve">Russia Moscow</w:t>
      </w:r>
      <w:r>
        <w:t xml:space="preserve"> </w:t>
      </w:r>
      <w:r>
        <w:t xml:space="preserve">presents a paradox: high potential for revenue growth coupled with intense competition from established local players and incoming international chains.</w:t>
      </w:r>
    </w:p>
    <w:p>
      <w:pPr>
        <w:pStyle w:val="BodyText"/>
      </w:pPr>
      <w:r>
        <w:t xml:space="preserve">The historical reliance on state healthcare has gradually shifted among the middle and upper classes toward private care, driven by desires for shorter wait times, superior patient comfort, and access to the latest technological interventions. This shift creates a critical opportunity for clinics that can demonstrate transparent pricing, world-class service standards, and advanced diagnostic capabilities.</w:t>
      </w:r>
    </w:p>
    <w:bookmarkEnd w:id="21"/>
    <w:bookmarkStart w:id="22" w:name="problem-statement"/>
    <w:p>
      <w:pPr>
        <w:pStyle w:val="Heading2"/>
      </w:pPr>
      <w:r>
        <w:t xml:space="preserve">3. Problem Statement</w:t>
      </w:r>
    </w:p>
    <w:p>
      <w:pPr>
        <w:pStyle w:val="FirstParagraph"/>
      </w:pPr>
      <w:r>
        <w:t xml:space="preserve">The central challenge addressed in this case study is the integration of a premium ophthalmology service model into the existing ecosystem of healthcare in Moscow. Many foreign-led initiatives fail because they underestimate the regulatory complexity and cultural nuances specific to Russian patients. For an experienced</w:t>
      </w:r>
      <w:r>
        <w:t xml:space="preserve"> </w:t>
      </w:r>
      <w:r>
        <w:rPr>
          <w:bCs/>
          <w:b/>
        </w:rPr>
        <w:t xml:space="preserve">Ophthalmologist</w:t>
      </w:r>
      <w:r>
        <w:t xml:space="preserve">, technical proficiency is merely a baseline requirement. The core problems identified include:</w:t>
      </w:r>
    </w:p>
    <w:p>
      <w:pPr>
        <w:numPr>
          <w:ilvl w:val="0"/>
          <w:numId w:val="1001"/>
        </w:numPr>
        <w:pStyle w:val="Compact"/>
      </w:pPr>
      <w:r>
        <w:rPr>
          <w:bCs/>
          <w:b/>
        </w:rPr>
        <w:t xml:space="preserve">Regulatory Compliance:</w:t>
      </w:r>
      <w:r>
        <w:t xml:space="preserve"> </w:t>
      </w:r>
      <w:r>
        <w:t xml:space="preserve">Navigating the stringent licensing requirements of Roszdravnadzor (the federal service for surveillance in healthcare) and ensuring all medical devices meet Russian certification standards.</w:t>
      </w:r>
    </w:p>
    <w:p>
      <w:pPr>
        <w:numPr>
          <w:ilvl w:val="0"/>
          <w:numId w:val="1001"/>
        </w:numPr>
        <w:pStyle w:val="Compact"/>
      </w:pPr>
      <w:r>
        <w:rPr>
          <w:bCs/>
          <w:b/>
        </w:rPr>
        <w:t xml:space="preserve">Patient Trust and Perception:</w:t>
      </w:r>
      <w:r>
        <w:t xml:space="preserve"> </w:t>
      </w:r>
      <w:r>
        <w:t xml:space="preserve">Overcoming skepticism regarding foreign medical personnel or international brands, which is prevalent in certain demographics within</w:t>
      </w:r>
      <w:r>
        <w:t xml:space="preserve"> </w:t>
      </w:r>
      <w:r>
        <w:rPr>
          <w:bCs/>
          <w:b/>
        </w:rPr>
        <w:t xml:space="preserve">Russia Moscow</w:t>
      </w:r>
      <w:r>
        <w:t xml:space="preserve">.</w:t>
      </w:r>
    </w:p>
    <w:p>
      <w:pPr>
        <w:numPr>
          <w:ilvl w:val="0"/>
          <w:numId w:val="1001"/>
        </w:numPr>
        <w:pStyle w:val="Compact"/>
      </w:pPr>
      <w:r>
        <w:rPr>
          <w:bCs/>
          <w:b/>
        </w:rPr>
        <w:t xml:space="preserve">Operational Efficiency:</w:t>
      </w:r>
    </w:p>
    <w:bookmarkEnd w:id="22"/>
    <w:bookmarkStart w:id="26" w:name="strategic-approach"/>
    <w:p>
      <w:pPr>
        <w:pStyle w:val="Heading2"/>
      </w:pPr>
      <w:r>
        <w:t xml:space="preserve">4. Strategic Approach</w:t>
      </w:r>
    </w:p>
    <w:p>
      <w:pPr>
        <w:pStyle w:val="FirstParagraph"/>
      </w:pPr>
      <w:r>
        <w:t xml:space="preserve">To address these challenges, a multi-faceted strategy was implemented, focusing on three key pillars: Technology, Human Capital, and Patient Experience.</w:t>
      </w:r>
    </w:p>
    <w:bookmarkStart w:id="23" w:name="technological-integration"/>
    <w:p>
      <w:pPr>
        <w:pStyle w:val="Heading3"/>
      </w:pPr>
      <w:r>
        <w:t xml:space="preserve">4.1 Technological Integration</w:t>
      </w:r>
    </w:p>
    <w:p>
      <w:pPr>
        <w:pStyle w:val="FirstParagraph"/>
      </w:pPr>
      <w:r>
        <w:t xml:space="preserve">The clinic invested heavily in state-of-the-art ophthalmic diagnostic equipment. Recognizing that patients in Moscow are well-informed and often research their conditions online, the availability of advanced diagnostics such as Optical Coherence Tomography (OCT) and corneal topography became a major selling point. The</w:t>
      </w:r>
      <w:r>
        <w:t xml:space="preserve"> </w:t>
      </w:r>
      <w:r>
        <w:rPr>
          <w:bCs/>
          <w:b/>
        </w:rPr>
        <w:t xml:space="preserve">Ophthalmologist</w:t>
      </w:r>
      <w:r>
        <w:t xml:space="preserve"> </w:t>
      </w:r>
      <w:r>
        <w:t xml:space="preserve">team ensured that all digital records were integrated into systems compliant with local data privacy laws, facilitating seamless referrals between general practitioners and specialists within the city.</w:t>
      </w:r>
    </w:p>
    <w:bookmarkEnd w:id="23"/>
    <w:bookmarkStart w:id="24" w:name="localization-of-service"/>
    <w:p>
      <w:pPr>
        <w:pStyle w:val="Heading3"/>
      </w:pPr>
      <w:r>
        <w:t xml:space="preserve">4.2 Localization of Service</w:t>
      </w:r>
    </w:p>
    <w:p>
      <w:pPr>
        <w:pStyle w:val="FirstParagraph"/>
      </w:pPr>
      <w:r>
        <w:t xml:space="preserve">Cultural adaptation was crucial. While the medical protocols remained globally standardized, the patient journey was localized for</w:t>
      </w:r>
      <w:r>
        <w:t xml:space="preserve"> </w:t>
      </w:r>
      <w:r>
        <w:rPr>
          <w:bCs/>
          <w:b/>
        </w:rPr>
        <w:t xml:space="preserve">Russia Moscow</w:t>
      </w:r>
      <w:r>
        <w:t xml:space="preserve">. This included offering services in both Russian and English to cater to the international business community residing in the capital. Furthermore, communication styles were adjusted; patients in this region often value directness combined with authoritative reassurance from their doctors. Training staff to balance empathy with clinical authority proved essential.</w:t>
      </w:r>
    </w:p>
    <w:bookmarkEnd w:id="24"/>
    <w:bookmarkStart w:id="25" w:name="collaborative-networks"/>
    <w:p>
      <w:pPr>
        <w:pStyle w:val="Heading3"/>
      </w:pPr>
      <w:r>
        <w:t xml:space="preserve">4.3 Collaborative Networks</w:t>
      </w:r>
    </w:p>
    <w:p>
      <w:pPr>
        <w:pStyle w:val="FirstParagraph"/>
      </w:pPr>
      <w:r>
        <w:t xml:space="preserve">To build credibility, the practice established partnerships with local insurance providers and corporate health programs. This ensured a steady stream of referrals from corporate clients, who are a significant demographic in Moscow’s business district. Additionally, educational seminars were held to engage local primary care physicians, positioning the lead</w:t>
      </w:r>
      <w:r>
        <w:t xml:space="preserve"> </w:t>
      </w:r>
      <w:r>
        <w:rPr>
          <w:bCs/>
          <w:b/>
        </w:rPr>
        <w:t xml:space="preserve">Ophthalmologist</w:t>
      </w:r>
      <w:r>
        <w:t xml:space="preserve"> </w:t>
      </w:r>
      <w:r>
        <w:t xml:space="preserve">as an expert authority in the field.</w:t>
      </w:r>
    </w:p>
    <w:bookmarkEnd w:id="25"/>
    <w:bookmarkEnd w:id="26"/>
    <w:bookmarkStart w:id="27" w:name="implementation-challenges"/>
    <w:p>
      <w:pPr>
        <w:pStyle w:val="Heading2"/>
      </w:pPr>
      <w:r>
        <w:t xml:space="preserve">5. Implementation Challenges</w:t>
      </w:r>
    </w:p>
    <w:p>
      <w:pPr>
        <w:pStyle w:val="FirstParagraph"/>
      </w:pPr>
      <w:r>
        <w:t xml:space="preserve">The implementation phase was not without obstacles. Supply chain disruptions for specific surgical consumables posed a significant risk. To mitigate this, the clinic diversified its supplier base and maintained strategic inventory reserves, a lesson learned from recent global events affecting import logistics in</w:t>
      </w:r>
      <w:r>
        <w:t xml:space="preserve"> </w:t>
      </w:r>
      <w:r>
        <w:rPr>
          <w:bCs/>
          <w:b/>
        </w:rPr>
        <w:t xml:space="preserve">Russia Moscow</w:t>
      </w:r>
      <w:r>
        <w:t xml:space="preserve">. Additionally, retaining top-tier local medical staff required competitive compensation packages that accounted for inflation and cost-of-living adjustments unique to the capital city.</w:t>
      </w:r>
    </w:p>
    <w:p>
      <w:pPr>
        <w:pStyle w:val="BodyText"/>
      </w:pPr>
      <w:r>
        <w:t xml:space="preserve">Marketing also presented challenges. Traditional advertising methods were less effective than digital engagement and word-of-mouth referrals. The clinic shifted its budget toward targeted social media campaigns showcasing successful surgical outcomes (with patient consent) and educational content, which resonated strongly with the tech-savvy population of Moscow.</w:t>
      </w:r>
    </w:p>
    <w:bookmarkEnd w:id="27"/>
    <w:bookmarkStart w:id="28" w:name="results-and-outcomes"/>
    <w:p>
      <w:pPr>
        <w:pStyle w:val="Heading2"/>
      </w:pPr>
      <w:r>
        <w:t xml:space="preserve">6. Results and Outcomes</w:t>
      </w:r>
    </w:p>
    <w:p>
      <w:pPr>
        <w:pStyle w:val="FirstParagraph"/>
      </w:pPr>
      <w:r>
        <w:t xml:space="preserve">Within the first 18 months of operation, the clinic achieved remarkable milestones. Patient volume increased by 45% year-over-year, with a significant portion attributed to complex cataract and refractive surgery cases. The patient satisfaction scores reached 96%, indicating that the localized service model was well-received. Revenue growth exceeded initial projections by 20%, driven primarily by high-margin surgical procedures rather than basic consultations.</w:t>
      </w:r>
    </w:p>
    <w:p>
      <w:pPr>
        <w:pStyle w:val="BodyText"/>
      </w:pPr>
      <w:r>
        <w:t xml:space="preserve">For the practicing</w:t>
      </w:r>
      <w:r>
        <w:t xml:space="preserve"> </w:t>
      </w:r>
      <w:r>
        <w:rPr>
          <w:bCs/>
          <w:b/>
        </w:rPr>
        <w:t xml:space="preserve">Ophthalmologist</w:t>
      </w:r>
      <w:r>
        <w:t xml:space="preserve">, these results validated the importance of adapting global best practices to the specific context of</w:t>
      </w:r>
      <w:r>
        <w:t xml:space="preserve"> </w:t>
      </w:r>
      <w:r>
        <w:rPr>
          <w:bCs/>
          <w:b/>
        </w:rPr>
        <w:t xml:space="preserve">Russia Moscow</w:t>
      </w:r>
      <w:r>
        <w:t xml:space="preserve">. The clinic became recognized not just as a medical facility, but as a premium healthcare brand synonymous with reliability and innovation.</w:t>
      </w:r>
    </w:p>
    <w:bookmarkEnd w:id="28"/>
    <w:bookmarkStart w:id="29" w:name="conclusion-and-lessons-learned"/>
    <w:p>
      <w:pPr>
        <w:pStyle w:val="Heading2"/>
      </w:pPr>
      <w:r>
        <w:t xml:space="preserve">7. Conclusion and Lessons Learned</w:t>
      </w:r>
    </w:p>
    <w:p>
      <w:pPr>
        <w:pStyle w:val="FirstParagraph"/>
      </w:pPr>
      <w:r>
        <w:t xml:space="preserve">This case study demonstrates that expanding ophthalmological services into major Russian cities like Moscow requires a holistic approach. It is insufficient to rely solely on clinical expertise; success depends on deep market intelligence, regulatory agility, and cultural competence. For any</w:t>
      </w:r>
      <w:r>
        <w:t xml:space="preserve"> </w:t>
      </w:r>
      <w:r>
        <w:rPr>
          <w:bCs/>
          <w:b/>
        </w:rPr>
        <w:t xml:space="preserve">Ophthalmologist</w:t>
      </w:r>
      <w:r>
        <w:t xml:space="preserve"> </w:t>
      </w:r>
      <w:r>
        <w:t xml:space="preserve">considering entry into this market, the key takeaway is that trust is built through transparency and consistency.</w:t>
      </w:r>
    </w:p>
    <w:p>
      <w:pPr>
        <w:pStyle w:val="BodyText"/>
      </w:pPr>
      <w:r>
        <w:t xml:space="preserve">The unique characteristics of healthcare consumption in</w:t>
      </w:r>
      <w:r>
        <w:t xml:space="preserve"> </w:t>
      </w:r>
      <w:r>
        <w:rPr>
          <w:bCs/>
          <w:b/>
        </w:rPr>
        <w:t xml:space="preserve">Russia Moscow</w:t>
      </w:r>
      <w:r>
        <w:t xml:space="preserve">—where patients are increasingly sophisticated yet deeply value personal connections with their doctors—must guide every aspect of business strategy. By aligning advanced medical capabilities with a patient-centric operational model, ophthalmology practices can thrive in this lucrative and complex market. Future expansions should continue to prioritize local partnerships and technological excellence to maintain a competitive edge in the evolving healthcare landscape.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Implementation of Advanced Ophthalmological Services in Russia, Moscow</dc:title>
  <dc:creator/>
  <cp:keywords/>
  <dcterms:created xsi:type="dcterms:W3CDTF">2026-07-29T12:18:12Z</dcterms:created>
  <dcterms:modified xsi:type="dcterms:W3CDTF">2026-07-29T12:18:12Z</dcterms:modified>
</cp:coreProperties>
</file>

<file path=docProps/custom.xml><?xml version="1.0" encoding="utf-8"?>
<Properties xmlns="http://schemas.openxmlformats.org/officeDocument/2006/custom-properties" xmlns:vt="http://schemas.openxmlformats.org/officeDocument/2006/docPropsVTypes"/>
</file>