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Specialized</w:t>
      </w:r>
      <w:r>
        <w:t xml:space="preserve"> </w:t>
      </w:r>
      <w:r>
        <w:t xml:space="preserve">Ophthalmology</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0956a71bb192994c069c6bbdcb55e7ac88d3e25"/>
    <w:p>
      <w:pPr>
        <w:pStyle w:val="Heading1"/>
      </w:pPr>
      <w:r>
        <w:t xml:space="preserve">Case Study: Establishing a Premier Ophthalmology Center in Russia, Saint Petersburg</w:t>
      </w:r>
    </w:p>
    <w:p>
      <w:pPr>
        <w:pStyle w:val="FirstParagraph"/>
      </w:pPr>
      <w:r>
        <w:rPr>
          <w:bCs/>
          <w:b/>
        </w:rPr>
        <w:t xml:space="preserve">Date:</w:t>
      </w:r>
      <w:r>
        <w:t xml:space="preserve"> </w:t>
      </w:r>
      <w:r>
        <w:t xml:space="preserve">October 24, 2023</w:t>
      </w:r>
      <w:r>
        <w:br/>
      </w:r>
    </w:p>
    <w:p>
      <w:pPr>
        <w:pStyle w:val="BodyText"/>
      </w:pPr>
      <w:r>
        <w:t xml:space="preserve">Subject:The strategic integration of advanced ophthalmological care within the healthcare infrastructure of Russia, specifically targeting the metropolitan area of Saint Petersburg.</w:t>
      </w:r>
    </w:p>
    <w:p>
      <w:pPr>
        <w:pStyle w:val="BodyText"/>
      </w:pPr>
      <w:r>
        <w:rPr>
          <w:bCs/>
          <w:b/>
        </w:rPr>
        <w:t xml:space="preserve">Executive Summary:</w:t>
      </w:r>
      <w:r>
        <w:br/>
      </w:r>
      <w:r>
        <w:t xml:space="preserve">This case study examines the opportunity to establish a high-end private ophthalmology clinic in Russia, Saint Petersburg. By leveraging demographic trends, technological advancements, and the specific healthcare needs of the region, this project aims to bridge the gap between public healthcare limitations and private demand for premium eye care services.</w:t>
      </w:r>
    </w:p>
    <w:bookmarkStart w:id="20" w:name="introduction-and-background"/>
    <w:p>
      <w:pPr>
        <w:pStyle w:val="Heading2"/>
      </w:pPr>
      <w:r>
        <w:t xml:space="preserve">1. Introduction and Background</w:t>
      </w:r>
    </w:p>
    <w:p>
      <w:pPr>
        <w:pStyle w:val="FirstParagraph"/>
      </w:pPr>
      <w:r>
        <w:t xml:space="preserve">In recent years, the healthcare sector in Russia has undergone significant transformation. While state-funded medicine provides a baseline of coverage, there is a growing middle class with disposable income seeking higher standards of service, shorter waiting times, and advanced medical technologies. This trend is particularly pronounced in major metropolitan hubs like Russia, Saint Petersburg.</w:t>
      </w:r>
    </w:p>
    <w:p>
      <w:pPr>
        <w:pStyle w:val="BodyText"/>
      </w:pPr>
      <w:r>
        <w:t xml:space="preserve">Saint Petersburg stands as the cultural and historical capital of the country. With a population exceeding five million residents and a dense urban infrastructure, it presents a unique market dynamic for specialized medical services. The city is known for its high literacy rates, strong educational institutions, and an aging population that requires consistent chronic care management. Within this context, ophthalmology represents one of the most critical sectors due to the rising prevalence of age-related macular degeneration (AMD), cataracts, and myopia among younger demographics driven by digital lifestyles.</w:t>
      </w:r>
    </w:p>
    <w:p>
      <w:pPr>
        <w:pStyle w:val="BodyText"/>
      </w:pPr>
      <w:r>
        <w:t xml:space="preserve">This case study explores the viability of launching a specialized Ophthalmologist practice that combines cutting-edge diagnostics with patient-centric care models, tailored specifically for the sophisticated demographic of Russia, Saint Petersburg.</w:t>
      </w:r>
    </w:p>
    <w:bookmarkEnd w:id="20"/>
    <w:bookmarkStart w:id="24" w:name="Xc1a415db6830cc7671adc418b8659bb9cefd9e8"/>
    <w:p>
      <w:pPr>
        <w:pStyle w:val="Heading2"/>
      </w:pPr>
      <w:r>
        <w:t xml:space="preserve">2. Market Analysis: The Landscape of Eye Care in Saint Petersburg</w:t>
      </w:r>
    </w:p>
    <w:bookmarkStart w:id="21" w:name="demographic-drivers"/>
    <w:p>
      <w:pPr>
        <w:pStyle w:val="Heading3"/>
      </w:pPr>
      <w:r>
        <w:t xml:space="preserve">Demographic Drivers</w:t>
      </w:r>
    </w:p>
    <w:p>
      <w:pPr>
        <w:pStyle w:val="FirstParagraph"/>
      </w:pPr>
      <w:r>
        <w:t xml:space="preserve">The population of Russia, Saint Petersburg is characterized by a significant proportion of elderly citizens who are the primary candidates for cataract surgery and glaucoma management. Simultaneously, the city boasts a large student population and young professionals. This dual demographic structure creates a bifurcated demand: one segment requiring routine vision correction (LASIK, PRK) and another requiring complex surgical interventions.</w:t>
      </w:r>
    </w:p>
    <w:bookmarkEnd w:id="21"/>
    <w:bookmarkStart w:id="22" w:name="competitive-environment"/>
    <w:p>
      <w:pPr>
        <w:pStyle w:val="Heading3"/>
      </w:pPr>
      <w:r>
        <w:t xml:space="preserve">Competitive Environment</w:t>
      </w:r>
    </w:p>
    <w:p>
      <w:pPr>
        <w:pStyle w:val="FirstParagraph"/>
      </w:pPr>
      <w:r>
        <w:t xml:space="preserve">The ophthalmology market in Saint Petersburg is competitive, dominated by large municipal hospitals and a handful of established private clinics. However, many existing facilities suffer from outdated equipment or inconsistent service quality. Public clinics often face long wait times for non-emergency procedures. This gap presents a clear opportunity for a modern Ophthalmologist-led facility that promises efficiency, transparency, and state-of-the-art technology.</w:t>
      </w:r>
    </w:p>
    <w:bookmarkEnd w:id="22"/>
    <w:bookmarkStart w:id="23" w:name="economic-factors"/>
    <w:p>
      <w:pPr>
        <w:pStyle w:val="Heading3"/>
      </w:pPr>
      <w:r>
        <w:t xml:space="preserve">Economic Factors</w:t>
      </w:r>
    </w:p>
    <w:p>
      <w:pPr>
        <w:pStyle w:val="FirstParagraph"/>
      </w:pPr>
      <w:r>
        <w:t xml:space="preserve">Inflation rates in Russia have impacted consumer spending habits; however, healthcare remains a priority expenditure. In Saint Petersburg specifically, the cost of living is higher than the national average, correlating with a greater willingness to pay for premium medical services. Furthermore, insurance companies in Russia are increasingly partnering with private providers to offer their clients faster access to specialists, creating a B2B2C revenue stream.</w:t>
      </w:r>
    </w:p>
    <w:bookmarkEnd w:id="23"/>
    <w:bookmarkEnd w:id="24"/>
    <w:bookmarkStart w:id="25" w:name="X9d0ec9f1d90d92b80a3521f0cd82bbd936452c1"/>
    <w:p>
      <w:pPr>
        <w:pStyle w:val="Heading2"/>
      </w:pPr>
      <w:r>
        <w:t xml:space="preserve">3. Strategic Objectives and Service Offerings</w:t>
      </w:r>
    </w:p>
    <w:p>
      <w:pPr>
        <w:pStyle w:val="FirstParagraph"/>
      </w:pPr>
      <w:r>
        <w:t xml:space="preserve">To succeed in this market, the proposed Ophthalmology center must differentiate itself through specialization and technological superiority. The strategic objectives include:</w:t>
      </w:r>
    </w:p>
    <w:p>
      <w:pPr>
        <w:numPr>
          <w:ilvl w:val="0"/>
          <w:numId w:val="1001"/>
        </w:numPr>
        <w:pStyle w:val="Compact"/>
      </w:pPr>
      <w:r>
        <w:rPr>
          <w:bCs/>
          <w:b/>
        </w:rPr>
        <w:t xml:space="preserve">Tech-First Approach:</w:t>
      </w:r>
      <w:r>
        <w:t xml:space="preserve"> </w:t>
      </w:r>
      <w:r>
        <w:t xml:space="preserve">Invest heavily in diagnostic tools such as Optical Coherence Tomography (OCT), automated perimetry, and femtosecond lasers for LASIK procedures.</w:t>
      </w:r>
    </w:p>
    <w:p>
      <w:pPr>
        <w:numPr>
          <w:ilvl w:val="0"/>
          <w:numId w:val="1001"/>
        </w:numPr>
        <w:pStyle w:val="Compact"/>
      </w:pPr>
      <w:r>
        <w:rPr>
          <w:bCs/>
          <w:b/>
        </w:rPr>
        <w:t xml:space="preserve">Patient Experience:</w:t>
      </w:r>
      <w:r>
        <w:t xml:space="preserve"> </w:t>
      </w:r>
      <w:r>
        <w:t xml:space="preserve">Implement a digital-first booking system with multilingual support (Russian and English) to cater to both locals and the significant expatriate community in Saint Petersburg.</w:t>
      </w:r>
    </w:p>
    <w:p>
      <w:pPr>
        <w:numPr>
          <w:ilvl w:val="0"/>
          <w:numId w:val="1001"/>
        </w:numPr>
        <w:pStyle w:val="Compact"/>
      </w:pPr>
      <w:r>
        <w:rPr>
          <w:bCs/>
          <w:b/>
        </w:rPr>
        <w:t xml:space="preserve">Educational Outreach:</w:t>
      </w:r>
      <w:r>
        <w:t xml:space="preserve"> </w:t>
      </w:r>
      <w:r>
        <w:t xml:space="preserve">Partner with local schools and corporate offices in Saint Petersburg for vision screenings, building brand trust early in the customer lifecycle.</w:t>
      </w:r>
    </w:p>
    <w:p>
      <w:pPr>
        <w:pStyle w:val="FirstParagraph"/>
      </w:pPr>
      <w:r>
        <w:t xml:space="preserve">The core service offerings will include:</w:t>
      </w:r>
    </w:p>
    <w:p>
      <w:pPr>
        <w:numPr>
          <w:ilvl w:val="0"/>
          <w:numId w:val="1002"/>
        </w:numPr>
        <w:pStyle w:val="Compact"/>
      </w:pPr>
      <w:r>
        <w:rPr>
          <w:bCs/>
          <w:b/>
        </w:rPr>
        <w:t xml:space="preserve">Cataract Surgery:</w:t>
      </w:r>
      <w:r>
        <w:t xml:space="preserve"> </w:t>
      </w:r>
      <w:r>
        <w:t xml:space="preserve">Utilizing premium intraocular lenses (IOLs) that offer monovision and multifocal capabilities, appealing to patients who wish to reduce dependence on glasses post-surgery.</w:t>
      </w:r>
    </w:p>
    <w:p>
      <w:pPr>
        <w:numPr>
          <w:ilvl w:val="0"/>
          <w:numId w:val="1002"/>
        </w:numPr>
        <w:pStyle w:val="Compact"/>
      </w:pPr>
      <w:r>
        <w:rPr>
          <w:bCs/>
          <w:b/>
        </w:rPr>
        <w:t xml:space="preserve">Laser Vision Correction:</w:t>
      </w:r>
      <w:r>
        <w:t xml:space="preserve"> </w:t>
      </w:r>
      <w:r>
        <w:t xml:space="preserve">Offering comprehensive refractive surgery options for myopia, hyperopia, and astigmatism.</w:t>
      </w:r>
    </w:p>
    <w:p>
      <w:pPr>
        <w:numPr>
          <w:ilvl w:val="0"/>
          <w:numId w:val="1002"/>
        </w:numPr>
        <w:pStyle w:val="Compact"/>
      </w:pPr>
      <w:r>
        <w:rPr>
          <w:bCs/>
          <w:b/>
        </w:rPr>
        <w:t xml:space="preserve">Pediatric Ophthalmology:</w:t>
      </w:r>
      <w:r>
        <w:t xml:space="preserve"> </w:t>
      </w:r>
      <w:r>
        <w:t xml:space="preserve">Addressing the rising rates of childhood myopia in Russia through specialized monitoring and ortho-k lenses.</w:t>
      </w:r>
    </w:p>
    <w:p>
      <w:pPr>
        <w:numPr>
          <w:ilvl w:val="0"/>
          <w:numId w:val="1002"/>
        </w:numPr>
        <w:pStyle w:val="Compact"/>
      </w:pPr>
      <w:r>
        <w:rPr>
          <w:bCs/>
          <w:b/>
        </w:rPr>
        <w:t xml:space="preserve">Retina Care:</w:t>
      </w:r>
      <w:r>
        <w:t xml:space="preserve"> </w:t>
      </w:r>
      <w:r>
        <w:t xml:space="preserve">Treating diabetic retinopathy and AMD, conditions prevalent among the aging population of Saint Petersburg.</w:t>
      </w:r>
    </w:p>
    <w:bookmarkEnd w:id="25"/>
    <w:bookmarkStart w:id="26" w:name="X98b335ab17fe34315bca72cd79249cb21e6fb3d"/>
    <w:p>
      <w:pPr>
        <w:pStyle w:val="Heading2"/>
      </w:pPr>
      <w:r>
        <w:t xml:space="preserve">4. Implementation Challenges and Risk Management</w:t>
      </w:r>
    </w:p>
    <w:p>
      <w:pPr>
        <w:pStyle w:val="FirstParagraph"/>
      </w:pPr>
      <w:r>
        <w:t xml:space="preserve">Navigating the regulatory landscape in Russia requires careful planning. Obtaining licenses for medical practice involves rigorous compliance with local health ministry standards. Additionally, importing advanced medical devices can be complicated by international sanctions and logistics hurdles affecting Russia, Saint Petersburg’s supply chains.</w:t>
      </w:r>
    </w:p>
    <w:p>
      <w:pPr>
        <w:pStyle w:val="BodyText"/>
      </w:pPr>
      <w:r>
        <w:rPr>
          <w:bCs/>
          <w:b/>
        </w:rPr>
        <w:t xml:space="preserve">Mitigation Strategy:</w:t>
      </w:r>
    </w:p>
    <w:p>
      <w:pPr>
        <w:numPr>
          <w:ilvl w:val="0"/>
          <w:numId w:val="1003"/>
        </w:numPr>
        <w:pStyle w:val="Compact"/>
      </w:pPr>
      <w:r>
        <w:rPr>
          <w:bCs/>
          <w:b/>
        </w:rPr>
        <w:t xml:space="preserve">Local Partnerships:</w:t>
      </w:r>
      <w:r>
        <w:t xml:space="preserve"> </w:t>
      </w:r>
      <w:r>
        <w:t xml:space="preserve">Collaborate with local distributors who have established relationships for device maintenance and spare parts.</w:t>
      </w:r>
    </w:p>
    <w:p>
      <w:pPr>
        <w:numPr>
          <w:ilvl w:val="0"/>
          <w:numId w:val="1003"/>
        </w:numPr>
        <w:pStyle w:val="Compact"/>
      </w:pPr>
      <w:r>
        <w:rPr>
          <w:bCs/>
          <w:b/>
        </w:rPr>
        <w:t xml:space="preserve">Talent Acquisition:</w:t>
      </w:r>
      <w:r>
        <w:t xml:space="preserve">: Recruit top-tier Ophthalmologist talent from leading Russian medical universities. Competitive salary packages and continuous professional development opportunities are essential to retain staff in a tight labor market.</w:t>
      </w:r>
    </w:p>
    <w:p>
      <w:pPr>
        <w:numPr>
          <w:ilvl w:val="0"/>
          <w:numId w:val="1003"/>
        </w:numPr>
        <w:pStyle w:val="Compact"/>
      </w:pPr>
      <w:r>
        <w:rPr>
          <w:bCs/>
          <w:b/>
        </w:rPr>
        <w:t xml:space="preserve">Cultural Adaptation:</w:t>
      </w:r>
      <w:r>
        <w:t xml:space="preserve">: Ensure that all marketing materials and patient interactions respect local cultural norms regarding health and privacy, which differ significantly from Western standards.</w:t>
      </w:r>
    </w:p>
    <w:bookmarkEnd w:id="26"/>
    <w:bookmarkStart w:id="27" w:name="financial-projections-and-revenue-model"/>
    <w:p>
      <w:pPr>
        <w:pStyle w:val="Heading2"/>
      </w:pPr>
      <w:r>
        <w:t xml:space="preserve">5. Financial Projections and Revenue Model</w:t>
      </w:r>
    </w:p>
    <w:p>
      <w:pPr>
        <w:pStyle w:val="FirstParagraph"/>
      </w:pPr>
      <w:r>
        <w:t xml:space="preserve">The revenue model is diversified to ensure stability. Approximately 40% of revenue will come from out-of-pocket payments for cosmetic and elective procedures (LASIK, premium IOLs). Another 30% will be derived from insurance reimbursements, which are becoming increasingly common in Saint Petersburg’s corporate sector. The remaining 30% will stem from routine consultations and diagnostic tests.</w:t>
      </w:r>
    </w:p>
    <w:p>
      <w:pPr>
        <w:pStyle w:val="BodyText"/>
      </w:pPr>
      <w:r>
        <w:t xml:space="preserve">Breakeven is projected within the first 18 months of operation, assuming an initial capital investment of approximately $2.5 million for facility setup, equipment procurement, and regulatory compliance. The ROI is expected to reach 20% annually by the third year due to high patient retention rates in chronic care management.</w:t>
      </w:r>
    </w:p>
    <w:bookmarkEnd w:id="27"/>
    <w:bookmarkStart w:id="28" w:name="conclusion"/>
    <w:p>
      <w:pPr>
        <w:pStyle w:val="Heading2"/>
      </w:pPr>
      <w:r>
        <w:t xml:space="preserve">6. Conclusion</w:t>
      </w:r>
    </w:p>
    <w:p>
      <w:pPr>
        <w:pStyle w:val="FirstParagraph"/>
      </w:pPr>
      <w:r>
        <w:t xml:space="preserve">The establishment of a specialized Ophthalmology center in Russia, Saint Petersburg represents a timely and lucrative opportunity. The convergence of an aging demographic, increasing digital eye strain among the youth, and a growing middle class with access to private insurance creates fertile ground for high-quality medical services.</w:t>
      </w:r>
    </w:p>
    <w:p>
      <w:pPr>
        <w:pStyle w:val="BodyText"/>
      </w:pPr>
      <w:r>
        <w:t xml:space="preserve">Success will depend on the ability of the Ophthalmologist team to deliver not just medical excellence, but also a superior patient experience that rivals international standards. By addressing the specific needs of Saint Petersburg’s residents and navigating local regulatory and logistical challenges with agility, this venture has the potential to become a market leader in eye care within Russia. The focus must remain on continuous innovation, staff training, and community engagement to sustain long-term growth.</w:t>
      </w:r>
    </w:p>
    <w:p>
      <w:pPr>
        <w:pStyle w:val="BodyText"/>
      </w:pPr>
      <w:r>
        <w:t xml:space="preserve">© 2023 Healthcare Strategy Group. All rights reserved.</w:t>
      </w:r>
      <w:r>
        <w:br/>
      </w:r>
      <w:r>
        <w:t xml:space="preserve">Prepared for stakeholders interested in healthcare expansion in the Northwestern Federal District of Russia.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Specialized Ophthalmology Services in Russia, Saint Petersburg</dc:title>
  <dc:creator/>
  <cp:keywords/>
  <dcterms:created xsi:type="dcterms:W3CDTF">2026-07-29T20:30:51Z</dcterms:created>
  <dcterms:modified xsi:type="dcterms:W3CDTF">2026-07-29T20:30:51Z</dcterms:modified>
</cp:coreProperties>
</file>

<file path=docProps/custom.xml><?xml version="1.0" encoding="utf-8"?>
<Properties xmlns="http://schemas.openxmlformats.org/officeDocument/2006/custom-properties" xmlns:vt="http://schemas.openxmlformats.org/officeDocument/2006/docPropsVTypes"/>
</file>