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Ophthalmologist</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2" w:name="Xfbe198d75720bf9a7c75b5b1150082002e90088"/>
    <w:p>
      <w:pPr>
        <w:pStyle w:val="Heading1"/>
      </w:pPr>
      <w:r>
        <w:t xml:space="preserve">Clinical and Operational Case Study: Advanced Ophthalmologist Care in United Kingdom Birmingham</w:t>
      </w:r>
    </w:p>
    <w:p>
      <w:pPr>
        <w:pStyle w:val="FirstParagraph"/>
      </w:pPr>
      <w:r>
        <w:rPr>
          <w:bCs/>
          <w:b/>
        </w:rPr>
        <w:t xml:space="preserve">Date:</w:t>
      </w:r>
      <w:r>
        <w:t xml:space="preserve"> </w:t>
      </w:r>
      <w:r>
        <w:t xml:space="preserve">October 24, 2023</w:t>
      </w:r>
      <w:r>
        <w:br/>
      </w:r>
      <w:r>
        <w:rPr>
          <w:bCs/>
          <w:b/>
        </w:rPr>
        <w:t xml:space="preserve">Location:</w:t>
      </w:r>
      <w:r>
        <w:t xml:space="preserve">United Kingdom Birmingham</w:t>
      </w:r>
      <w:r>
        <w:br/>
      </w:r>
      <w:r>
        <w:rPr>
          <w:bCs/>
          <w:b/>
        </w:rPr>
        <w:t xml:space="preserve">Focus Area:</w:t>
      </w:r>
      <w:r>
        <w:t xml:space="preserve"> </w:t>
      </w:r>
      <w:r>
        <w:t xml:space="preserve">Integrated Ophthalmologist Services, Patient Outcomes, and Regional Health Equity</w:t>
      </w:r>
      <w:r>
        <w:br/>
      </w:r>
      <w:r>
        <w:rPr>
          <w:bCs/>
          <w:b/>
        </w:rPr>
        <w:t xml:space="preserve">Status:</w:t>
      </w:r>
      <w:r>
        <w:t xml:space="preserve"> </w:t>
      </w:r>
      <w:r>
        <w:t xml:space="preserve">Completed Analysis</w:t>
      </w:r>
    </w:p>
    <w:bookmarkStart w:id="20" w:name="executive-summary"/>
    <w:p>
      <w:pPr>
        <w:pStyle w:val="Heading2"/>
      </w:pPr>
      <w:r>
        <w:t xml:space="preserve">1. Executive Summary</w:t>
      </w:r>
    </w:p>
    <w:p>
      <w:pPr>
        <w:pStyle w:val="FirstParagraph"/>
      </w:pPr>
      <w:r>
        <w:t xml:space="preserve">This document presents a comprehensive Case Study regarding the provision of specialized eye care services within the diverse urban landscape of the United Kingdom Birmingham. The primary objective is to analyze how a leading Ophthalmologist-led clinic has successfully navigated the complexities of National Health Service (NHS) constraints while simultaneously integrating private care pathways. The study highlights specific challenges related to demographic diversity, waiting list management, and technological integration in one of Europe’s largest metropolitan areas.</w:t>
      </w:r>
    </w:p>
    <w:bookmarkEnd w:id="20"/>
    <w:bookmarkStart w:id="21" w:name="introduction-and-context"/>
    <w:p>
      <w:pPr>
        <w:pStyle w:val="Heading2"/>
      </w:pPr>
      <w:r>
        <w:t xml:space="preserve">2. Introduction and Context</w:t>
      </w:r>
    </w:p>
    <w:p>
      <w:pPr>
        <w:pStyle w:val="FirstParagraph"/>
      </w:pPr>
      <w:r>
        <w:t xml:space="preserve">Birmingham stands as the second-largest city in the United Kingdom by population within its city limits, serving as a crucial hub for healthcare innovation in the Midlands. The demographic profile of United Kingdom Birmingham is unique, characterized by significant ethnic diversity and varying socioeconomic statuses across different boroughs. This diversity presents distinct health challenges, particularly regarding ocular health conditions such as diabetic retinopathy, glaucoma, and age-related macular degeneration (AMD), which have higher prevalence rates in certain population groups.</w:t>
      </w:r>
    </w:p>
    <w:p>
      <w:pPr>
        <w:pStyle w:val="BodyText"/>
      </w:pPr>
      <w:r>
        <w:t xml:space="preserve">In this context, the role of a qualified Ophthalmologist extends beyond clinical treatment; it involves navigating complex public health initiatives. The Case Study focuses on "Vision West Midlands," a fictionalized composite entity based on real-world data from NHS Trusts and private clinics in United Kingdom Birmingham, to illustrate best practices in modern ophthalmic care delivery.</w:t>
      </w:r>
    </w:p>
    <w:bookmarkEnd w:id="21"/>
    <w:bookmarkStart w:id="22" w:name="problem-statement"/>
    <w:p>
      <w:pPr>
        <w:pStyle w:val="Heading2"/>
      </w:pPr>
      <w:r>
        <w:t xml:space="preserve">3. Problem Statement</w:t>
      </w:r>
    </w:p>
    <w:p>
      <w:pPr>
        <w:pStyle w:val="FirstParagraph"/>
      </w:pPr>
      <w:r>
        <w:t xml:space="preserve">The primary issues identified for the Ophthalmologist team in United Kingdom Birmingham included:</w:t>
      </w:r>
    </w:p>
    <w:p>
      <w:pPr>
        <w:numPr>
          <w:ilvl w:val="0"/>
          <w:numId w:val="1001"/>
        </w:numPr>
        <w:pStyle w:val="Compact"/>
      </w:pPr>
      <w:r>
        <w:rPr>
          <w:bCs/>
          <w:b/>
        </w:rPr>
        <w:t xml:space="preserve">Patient Wait Times:</w:t>
      </w:r>
      <w:r>
        <w:t xml:space="preserve"> </w:t>
      </w:r>
      <w:r>
        <w:t xml:space="preserve">Despite NHS targets, patients in United Kingdom Birmingham faced waits exceeding twelve weeks for routine cataract surgeries due to high demand and resource allocation pressures.</w:t>
      </w:r>
    </w:p>
    <w:p>
      <w:pPr>
        <w:numPr>
          <w:ilvl w:val="0"/>
          <w:numId w:val="1001"/>
        </w:numPr>
        <w:pStyle w:val="Compact"/>
      </w:pPr>
      <w:r>
        <w:rPr>
          <w:bCs/>
          <w:b/>
        </w:rPr>
        <w:t xml:space="preserve">Digital Health Literacy Gaps:</w:t>
      </w:r>
      <w:r>
        <w:t xml:space="preserve"> </w:t>
      </w:r>
      <w:r>
        <w:t xml:space="preserve">A significant portion of the patient demographic in United Kingdom Birmingham struggled with digital booking systems, leading to missed appointments and delayed interventions.</w:t>
      </w:r>
    </w:p>
    <w:p>
      <w:pPr>
        <w:numPr>
          <w:ilvl w:val="0"/>
          <w:numId w:val="1001"/>
        </w:numPr>
        <w:pStyle w:val="Compact"/>
      </w:pPr>
      <w:r>
        <w:rPr>
          <w:bCs/>
          <w:b/>
        </w:rPr>
        <w:t xml:space="preserve">Racial Disparities in Outcomes:</w:t>
      </w:r>
      <w:r>
        <w:t xml:space="preserve"> </w:t>
      </w:r>
      <w:r>
        <w:t xml:space="preserve">Data indicated that patients from Black African and South Asian backgrounds in United Kingdom Birmingham were being diagnosed at later stages of diabetic eye disease compared to white counterparts, requiring urgent targeted screening protocols.</w:t>
      </w:r>
    </w:p>
    <w:bookmarkEnd w:id="22"/>
    <w:bookmarkStart w:id="26" w:name="methodology-and-intervention"/>
    <w:p>
      <w:pPr>
        <w:pStyle w:val="Heading2"/>
      </w:pPr>
      <w:r>
        <w:t xml:space="preserve">4. Methodology and Intervention</w:t>
      </w:r>
    </w:p>
    <w:p>
      <w:pPr>
        <w:pStyle w:val="FirstParagraph"/>
      </w:pPr>
      <w:r>
        <w:t xml:space="preserve">To address these challenges, the Ophthalmologist team implemented a multi-faceted strategy involving clinical workflow optimization and community engagement.</w:t>
      </w:r>
    </w:p>
    <w:bookmarkStart w:id="23" w:name="implementation-of-ai-assisted-screening"/>
    <w:p>
      <w:pPr>
        <w:pStyle w:val="Heading3"/>
      </w:pPr>
      <w:r>
        <w:t xml:space="preserve">4.1. Implementation of AI-Assisted Screening</w:t>
      </w:r>
    </w:p>
    <w:p>
      <w:pPr>
        <w:pStyle w:val="FirstParagraph"/>
      </w:pPr>
      <w:r>
        <w:t xml:space="preserve">The clinic integrated artificial intelligence algorithms into their retinal imaging systems. This allowed Ophthalmologists to triage patients more effectively in United Kingdom Birmingham. By pre-screening thousands of diabetic patients, the system identified high-risk cases requiring immediate intervention, reducing the burden on specialist time and ensuring that critical cases were seen within NHS safety-net timelines.</w:t>
      </w:r>
    </w:p>
    <w:bookmarkEnd w:id="23"/>
    <w:bookmarkStart w:id="24" w:name="multilingual-patient-navigation"/>
    <w:p>
      <w:pPr>
        <w:pStyle w:val="Heading3"/>
      </w:pPr>
      <w:r>
        <w:t xml:space="preserve">4.2. Multilingual Patient Navigation</w:t>
      </w:r>
    </w:p>
    <w:p>
      <w:pPr>
        <w:pStyle w:val="FirstParagraph"/>
      </w:pPr>
      <w:r>
        <w:t xml:space="preserve">A dedicated patient navigation service was established specifically for United Kingdom Birmingham’s diverse communities. This service provided literature and appointment reminders in over ten languages common to the region, including Urdu, Punjabi, Polish, and Somali. This intervention significantly reduced the "Did Not Attend" (DNA) rate by 25% within six months.</w:t>
      </w:r>
    </w:p>
    <w:bookmarkEnd w:id="24"/>
    <w:bookmarkStart w:id="25" w:name="hybrid-care-models"/>
    <w:p>
      <w:pPr>
        <w:pStyle w:val="Heading3"/>
      </w:pPr>
      <w:r>
        <w:t xml:space="preserve">4.3. Hybrid Care Models</w:t>
      </w:r>
    </w:p>
    <w:p>
      <w:pPr>
        <w:pStyle w:val="FirstParagraph"/>
      </w:pPr>
      <w:r>
        <w:t xml:space="preserve">The Ophthalmologist team introduced a hybrid model where post-operative follow-ups for routine cataract patients were conducted via telemedicine where appropriate, freeing up physical clinic space in United Kingdom Birmingham for more complex cases such as pediatric ophthalmology and corneal transplants.</w:t>
      </w:r>
    </w:p>
    <w:bookmarkEnd w:id="25"/>
    <w:bookmarkEnd w:id="26"/>
    <w:bookmarkStart w:id="27" w:name="results-and-data-analysis"/>
    <w:p>
      <w:pPr>
        <w:pStyle w:val="Heading2"/>
      </w:pPr>
      <w:r>
        <w:t xml:space="preserve">5. Results and Data Analysis</w:t>
      </w:r>
    </w:p>
    <w:p>
      <w:pPr>
        <w:pStyle w:val="FirstParagraph"/>
      </w:pPr>
      <w:r>
        <w:t xml:space="preserve">The Case Study data collected over an eighteen-month period demonstrates significant improvements in key performance indicators (KPIs) for the Ophthalmologist service in United Kingdom Birmingham.</w:t>
      </w:r>
    </w:p>
    <w:p>
      <w:pPr>
        <w:numPr>
          <w:ilvl w:val="0"/>
          <w:numId w:val="1002"/>
        </w:numPr>
        <w:pStyle w:val="Compact"/>
      </w:pPr>
      <w:r>
        <w:rPr>
          <w:bCs/>
          <w:b/>
        </w:rPr>
        <w:t xml:space="preserve">Surgical Efficiency:</w:t>
      </w:r>
      <w:r>
        <w:t xml:space="preserve"> </w:t>
      </w:r>
      <w:r>
        <w:t xml:space="preserve">The average wait time for non-urgent cataract surgery decreased from 14 weeks to 9 weeks. This improvement was attributed to the streamlined triage process and the efficient use of hybrid care models.</w:t>
      </w:r>
    </w:p>
    <w:p>
      <w:pPr>
        <w:numPr>
          <w:ilvl w:val="0"/>
          <w:numId w:val="1002"/>
        </w:numPr>
        <w:pStyle w:val="Compact"/>
      </w:pPr>
      <w:r>
        <w:rPr>
          <w:bCs/>
          <w:b/>
        </w:rPr>
        <w:t xml:space="preserve">Eyond Early Detection:</w:t>
      </w:r>
      <w:r>
        <w:t xml:space="preserve"> </w:t>
      </w:r>
      <w:r>
        <w:t xml:space="preserve">The AI-assisted screening program detected stage 3 diabetic retinopathy in 15% more patients than previous manual screening methods. These patients, predominantly from under-served areas of United Kingdom Birmingham, received timely treatment that preserved their central vision.</w:t>
      </w:r>
    </w:p>
    <w:p>
      <w:pPr>
        <w:numPr>
          <w:ilvl w:val="0"/>
          <w:numId w:val="1002"/>
        </w:numPr>
        <w:pStyle w:val="Compact"/>
      </w:pPr>
      <w:r>
        <w:rPr>
          <w:bCs/>
          <w:b/>
        </w:rPr>
        <w:t xml:space="preserve">Patient Satisfaction:</w:t>
      </w:r>
      <w:r>
        <w:t xml:space="preserve"> </w:t>
      </w:r>
      <w:r>
        <w:t xml:space="preserve">Post-treatment surveys indicated a 92% satisfaction rate among patients in United Kingdom Birmingham, with specific praise for the clarity of communication and the multilingual support services.</w:t>
      </w:r>
    </w:p>
    <w:bookmarkEnd w:id="27"/>
    <w:bookmarkStart w:id="28" w:name="X76ad5c6a43be0a5d2aa69c64cd2167bc7e61291"/>
    <w:p>
      <w:pPr>
        <w:pStyle w:val="Heading2"/>
      </w:pPr>
      <w:r>
        <w:t xml:space="preserve">6. Discussion: The Role of Community Engagement</w:t>
      </w:r>
    </w:p>
    <w:p>
      <w:pPr>
        <w:pStyle w:val="FirstParagraph"/>
      </w:pPr>
      <w:r>
        <w:t xml:space="preserve">A critical success factor identified in this Case Study was the active engagement with local community leaders in United Kingdom Birmingham. By partnering with local mosques, churches, and cultural centers, the Ophthalmologist team was able to host "Eye Health Days." These events provided free basic vision screenings and education about eye diseases. This proactive approach helped demystify ophthalmic care for communities that historically had low engagement with health services.</w:t>
      </w:r>
    </w:p>
    <w:p>
      <w:pPr>
        <w:pStyle w:val="BodyText"/>
      </w:pPr>
      <w:r>
        <w:t xml:space="preserve">Furthermore, the collaboration between NHS trusts and private providers in United Kingdom Birmingham allowed for a more flexible resource allocation. When public waiting lists surged, the Ophthalmologist team could divert eligible patients to partnered private facilities without compromising their primary care responsibilities, ensuring continuity of care across the region.</w:t>
      </w:r>
    </w:p>
    <w:bookmarkEnd w:id="28"/>
    <w:bookmarkStart w:id="29" w:name="challenges-and-limitations"/>
    <w:p>
      <w:pPr>
        <w:pStyle w:val="Heading2"/>
      </w:pPr>
      <w:r>
        <w:t xml:space="preserve">7. Challenges and Limitations</w:t>
      </w:r>
    </w:p>
    <w:p>
      <w:pPr>
        <w:pStyle w:val="FirstParagraph"/>
      </w:pPr>
      <w:r>
        <w:t xml:space="preserve">While the outcomes were positive, the Case Study acknowledges several challenges. The initial cost of implementing AI technology was substantial. Additionally, there were occasional technical glitches in telemedicine platforms during peak hours in United Kingdom Birmingham, highlighting the need for robust IT infrastructure support.</w:t>
      </w:r>
    </w:p>
    <w:p>
      <w:pPr>
        <w:pStyle w:val="BodyText"/>
      </w:pPr>
      <w:r>
        <w:t xml:space="preserve">Data privacy concerns also required rigorous adherence to GDPR regulations, particularly when handling sensitive health data across different NHS and private databases within United Kingdom Birmingham. The Ophthalmologist team had to invest heavily in staff training regarding cybersecurity and patient confidentiality.</w:t>
      </w:r>
    </w:p>
    <w:bookmarkEnd w:id="29"/>
    <w:bookmarkStart w:id="30" w:name="conclusion"/>
    <w:p>
      <w:pPr>
        <w:pStyle w:val="Heading2"/>
      </w:pPr>
      <w:r>
        <w:t xml:space="preserve">8. Conclusion</w:t>
      </w:r>
    </w:p>
    <w:p>
      <w:pPr>
        <w:pStyle w:val="FirstParagraph"/>
      </w:pPr>
      <w:r>
        <w:t xml:space="preserve">This Case Study underscores the vital role of the modern Ophthalmologist in addressing both clinical and social determinants of health within complex urban environments like United Kingdom Birmingham. The successful integration of technology, cultural competence, and flexible care models has led to improved outcomes for patients in United Kingdom Birmingham.</w:t>
      </w:r>
    </w:p>
    <w:p>
      <w:pPr>
        <w:pStyle w:val="BodyText"/>
      </w:pPr>
      <w:r>
        <w:t xml:space="preserve">The findings suggest that future ophthalmic services across the UK should prioritize early detection technologies and community-based education to reduce disparities. For healthcare providers in United Kingdom Birmingham, the model presented here offers a scalable framework for enhancing patient access and quality of life.</w:t>
      </w:r>
    </w:p>
    <w:bookmarkEnd w:id="30"/>
    <w:bookmarkStart w:id="31" w:name="recommendations"/>
    <w:p>
      <w:pPr>
        <w:pStyle w:val="Heading2"/>
      </w:pPr>
      <w:r>
        <w:t xml:space="preserve">9. Recommendations</w:t>
      </w:r>
    </w:p>
    <w:p>
      <w:pPr>
        <w:numPr>
          <w:ilvl w:val="0"/>
          <w:numId w:val="1003"/>
        </w:numPr>
        <w:pStyle w:val="Compact"/>
      </w:pPr>
      <w:r>
        <w:rPr>
          <w:bCs/>
          <w:b/>
        </w:rPr>
        <w:t xml:space="preserve">Sustain Investment in AI:</w:t>
      </w:r>
      <w:r>
        <w:t xml:space="preserve"> </w:t>
      </w:r>
      <w:r>
        <w:t xml:space="preserve">Continue funding for artificial intelligence tools to maintain early detection rates in United Kingdom Birmingham.</w:t>
      </w:r>
    </w:p>
    <w:p>
      <w:pPr>
        <w:numPr>
          <w:ilvl w:val="0"/>
          <w:numId w:val="1003"/>
        </w:numPr>
        <w:pStyle w:val="Compact"/>
      </w:pPr>
      <w:r>
        <w:rPr>
          <w:bCs/>
          <w:b/>
        </w:rPr>
        <w:t xml:space="preserve">Expand Telemedicine:</w:t>
      </w:r>
      <w:r>
        <w:t xml:space="preserve"> </w:t>
      </w:r>
      <w:r>
        <w:t xml:space="preserve">Further develop telemedicine protocols to handle routine follow-ups, reducing physical strain on facilities in United Kingdom Birmingham.</w:t>
      </w:r>
    </w:p>
    <w:p>
      <w:pPr>
        <w:numPr>
          <w:ilvl w:val="0"/>
          <w:numId w:val="1003"/>
        </w:numPr>
        <w:pStyle w:val="Compact"/>
      </w:pPr>
      <w:r>
        <w:rPr>
          <w:bCs/>
          <w:b/>
        </w:rPr>
        <w:t xml:space="preserve">Longitudinal Studies:</w:t>
      </w:r>
      <w:r>
        <w:t xml:space="preserve"> </w:t>
      </w:r>
      <w:r>
        <w:t xml:space="preserve">Conduct long-term studies to track the progression of diabetic eye disease in United Kingdom Birmingham populations over the next decade.</w:t>
      </w:r>
    </w:p>
    <w:p>
      <w:r>
        <w:pict>
          <v:rect style="width:0;height:1.5pt" o:hralign="center" o:hrstd="t" o:hr="t"/>
        </w:pict>
      </w:r>
    </w:p>
    <w:p>
      <w:pPr>
        <w:pStyle w:val="FirstParagraph"/>
      </w:pPr>
      <w:r>
        <w:rPr>
          <w:iCs/>
          <w:i/>
        </w:rPr>
        <w:t xml:space="preserve">Note: This document is a structured Case Study for educational and operational planning purposes, focusing on Ophthalmologist practices within United Kingdom Birmingham.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Ophthalmologist Services in United Kingdom Birmingham</dc:title>
  <dc:creator/>
  <dc:language>en</dc:language>
  <cp:keywords/>
  <dcterms:created xsi:type="dcterms:W3CDTF">2026-07-29T13:18:54Z</dcterms:created>
  <dcterms:modified xsi:type="dcterms:W3CDTF">2026-07-29T13:18:54Z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