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Ophthalmological</w:t>
      </w:r>
      <w:r>
        <w:t xml:space="preserve"> </w:t>
      </w:r>
      <w:r>
        <w:t xml:space="preserve">Care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f42b0735977e943714a71acd7e097d4a2c34c75"/>
    <w:p>
      <w:pPr>
        <w:pStyle w:val="Heading1"/>
      </w:pPr>
      <w:r>
        <w:t xml:space="preserve">Case Study: Enhancing Visual Health Outcomes Through Specialized Ophthalmologist Services in United Kingdom Manchester</w:t>
      </w:r>
    </w:p>
    <w:p>
      <w:pPr>
        <w:pStyle w:val="FirstParagraph"/>
      </w:pPr>
      <w:r>
        <w:rPr>
          <w:bCs/>
          <w:b/>
        </w:rPr>
        <w:t xml:space="preserve">Date:</w:t>
      </w:r>
      <w:r>
        <w:t xml:space="preserve"> </w:t>
      </w:r>
      <w:r>
        <w:t xml:space="preserve">October 2023</w:t>
      </w:r>
      <w:r>
        <w:br/>
      </w:r>
      <w:r>
        <w:rPr>
          <w:bCs/>
          <w:b/>
        </w:rPr>
        <w:t xml:space="preserve">Region:</w:t>
      </w:r>
      <w:r>
        <w:t xml:space="preserve"> </w:t>
      </w:r>
      <w:hyperlink w:anchor="Xa39a3ee5e6b4b0d3255bfef95601890afd80709">
        <w:r>
          <w:rPr>
            <w:rStyle w:val="Hyperlink"/>
          </w:rPr>
          <w:t xml:space="preserve">United Kingdom Manchester</w:t>
        </w:r>
      </w:hyperlink>
    </w:p>
    <w:bookmarkStart w:id="20" w:name="executive-summary"/>
    <w:p>
      <w:pPr>
        <w:pStyle w:val="Heading2"/>
      </w:pPr>
      <w:r>
        <w:t xml:space="preserve">Executive Summary</w:t>
      </w:r>
    </w:p>
    <w:p>
      <w:pPr>
        <w:pStyle w:val="FirstParagraph"/>
      </w:pPr>
      <w:r>
        <w:t xml:space="preserve">This comprehensive case study examines the evolution and impact of specialized eye care services within the bustling metropolitan hub of</w:t>
      </w:r>
      <w:r>
        <w:t xml:space="preserve"> </w:t>
      </w:r>
      <w:r>
        <w:rPr>
          <w:bCs/>
          <w:b/>
          <w:iCs/>
          <w:i/>
        </w:rPr>
        <w:t xml:space="preserve">United Kingdom Manchester</w:t>
      </w:r>
      <w:r>
        <w:t xml:space="preserve">. As one of the largest cities in Northern England, Manchester presents a unique demographic challenge characterized by high population density, cultural diversity, and varying levels of socioeconomic status. Consequently, the demand for high-quality ophthalmological care is immense. This document explores how local healthcare providers have integrated advanced</w:t>
      </w:r>
      <w:r>
        <w:t xml:space="preserve"> </w:t>
      </w:r>
      <w:r>
        <w:rPr>
          <w:bCs/>
          <w:b/>
        </w:rPr>
        <w:t xml:space="preserve">o</w:t>
      </w:r>
    </w:p>
    <w:p>
      <w:pPr>
        <w:pStyle w:val="BodyText"/>
      </w:pPr>
      <w:r>
        <w:t xml:space="preserve">phth</w:t>
      </w:r>
    </w:p>
    <w:bookmarkEnd w:id="20"/>
    <w:bookmarkStart w:id="21" w:name="X073139f3e0ae7fd6594a22271b1c1f61706832d"/>
    <w:p>
      <w:pPr>
        <w:pStyle w:val="Heading2"/>
      </w:pPr>
      <w:r>
        <w:t xml:space="preserve">The Context: Manchester’s Demographic Challenge</w:t>
      </w:r>
    </w:p>
    <w:p>
      <w:pPr>
        <w:pStyle w:val="FirstParagraph"/>
      </w:pPr>
      <w:r>
        <w:rPr>
          <w:bCs/>
          <w:b/>
          <w:iCs/>
          <w:i/>
        </w:rPr>
        <w:t xml:space="preserve">Ophthalmologist</w:t>
      </w:r>
      <w:r>
        <w:t xml:space="preserve"> </w:t>
      </w:r>
      <w:r>
        <w:t xml:space="preserve">services in Manchester are not merely a luxury but a critical component of public health infrastructure. The city is experiencing rapid urban growth, which has strained existing healthcare resources. Furthermore, the diverse population means that eye care providers must cater to a wide spectrum of genetic predispositions and environmental factors affecting vision.</w:t>
      </w:r>
    </w:p>
    <w:p>
      <w:pPr>
        <w:pStyle w:val="BodyText"/>
      </w:pPr>
      <w:r>
        <w:t xml:space="preserve">Key demographic factors influencing the need for an</w:t>
      </w:r>
      <w:r>
        <w:t xml:space="preserve"> </w:t>
      </w:r>
      <w:r>
        <w:rPr>
          <w:bCs/>
          <w:b/>
        </w:rPr>
        <w:t xml:space="preserve">Ophthalmologist</w:t>
      </w:r>
      <w:r>
        <w:t xml:space="preserve"> </w:t>
      </w:r>
      <w:r>
        <w:t xml:space="preserve">in this region include:</w:t>
      </w:r>
    </w:p>
    <w:p>
      <w:pPr>
        <w:numPr>
          <w:ilvl w:val="0"/>
          <w:numId w:val="1001"/>
        </w:numPr>
        <w:pStyle w:val="Compact"/>
      </w:pPr>
      <w:r>
        <w:rPr>
          <w:bCs/>
          <w:b/>
        </w:rPr>
        <w:t xml:space="preserve">Aging Population:</w:t>
      </w:r>
      <w:r>
        <w:t xml:space="preserve">A significant portion of Manchester's residents are over the age of 65, a group highly susceptible to age-related macular degeneration (AMD), cataracts, and glaucoma.</w:t>
      </w:r>
    </w:p>
    <w:p>
      <w:pPr>
        <w:numPr>
          <w:ilvl w:val="0"/>
          <w:numId w:val="1001"/>
        </w:numPr>
        <w:pStyle w:val="Compact"/>
      </w:pPr>
      <w:r>
        <w:rPr>
          <w:bCs/>
          <w:b/>
        </w:rPr>
        <w:t xml:space="preserve">Digital Eye Strain:</w:t>
      </w:r>
      <w:r>
        <w:t xml:space="preserve"> </w:t>
      </w:r>
      <w:r>
        <w:t xml:space="preserve">With Manchester being a major tech hub in the United Kingdom, there is a rising incidence of digital eye strain and myopia among the younger working population.</w:t>
      </w:r>
    </w:p>
    <w:p>
      <w:pPr>
        <w:numPr>
          <w:ilvl w:val="0"/>
          <w:numId w:val="1001"/>
        </w:numPr>
        <w:pStyle w:val="Compact"/>
      </w:pPr>
      <w:r>
        <w:rPr>
          <w:bCs/>
          <w:b/>
        </w:rPr>
        <w:t xml:space="preserve">Socioeconomic Disparities:</w:t>
      </w:r>
      <w:r>
        <w:t xml:space="preserve">Certain areas within Manchester face higher rates of diabetes and hypertension, leading to increased prevalence of diabetic retinopathy and hypertensive retinopathy.</w:t>
      </w:r>
    </w:p>
    <w:bookmarkEnd w:id="21"/>
    <w:bookmarkStart w:id="26" w:name="X46c3d10c07629d027c65da30f551c3fa0137114"/>
    <w:p>
      <w:pPr>
        <w:pStyle w:val="Heading2"/>
      </w:pPr>
      <w:r>
        <w:t xml:space="preserve">The Intervention: Integrated Ophthalmologist Care Models</w:t>
      </w:r>
    </w:p>
    <w:p>
      <w:pPr>
        <w:pStyle w:val="FirstParagraph"/>
      </w:pPr>
      <w:r>
        <w:t xml:space="preserve">To address these challenges, several hospitals and private clinics across United Kingdom Manchester have adopted an integrated care model. This approach focuses on early detection, technological integration, and patient-centered pathways. The core of this strategy relies on the expertise of a dedicated team of</w:t>
      </w:r>
      <w:r>
        <w:t xml:space="preserve"> </w:t>
      </w:r>
      <w:r>
        <w:rPr>
          <w:bCs/>
          <w:b/>
        </w:rPr>
        <w:t xml:space="preserve">Ophthalmologist</w:t>
      </w:r>
      <w:r>
        <w:t xml:space="preserve"> </w:t>
      </w:r>
      <w:r>
        <w:t xml:space="preserve">specialists who collaborate with optometrists, endocrinologists, and primary care physicians.</w:t>
      </w:r>
    </w:p>
    <w:bookmarkStart w:id="22" w:name="technological-integration"/>
    <w:p>
      <w:pPr>
        <w:pStyle w:val="Heading3"/>
      </w:pPr>
      <w:r>
        <w:t xml:space="preserve">1. Technological Integration</w:t>
      </w:r>
    </w:p>
    <w:p>
      <w:pPr>
        <w:pStyle w:val="FirstParagraph"/>
      </w:pPr>
      <w:r>
        <w:t xml:space="preserve">The deployment of cutting-edge diagnostic technology is pivotal in modern ophthalmology. In Manchester, clinics have invested in Optical Coherence Tomography (OCT) and automated perimetry. These tools allow an</w:t>
      </w:r>
      <w:r>
        <w:t xml:space="preserve"> </w:t>
      </w:r>
      <w:r>
        <w:rPr>
          <w:bCs/>
          <w:b/>
        </w:rPr>
        <w:t xml:space="preserve">Ophthalmologist</w:t>
      </w:r>
      <w:r>
        <w:t xml:space="preserve"> </w:t>
      </w:r>
      <w:r>
        <w:t xml:space="preserve">to detect minute changes in the retina and visual field long before they become symptomatic. For instance, early detection of glaucoma through OCT scanning has reduced the rate of irreversible vision loss by 15% in participating clinics over a two-year period.</w:t>
      </w:r>
    </w:p>
    <w:bookmarkEnd w:id="22"/>
    <w:bookmarkStart w:id="23" w:name="tele-ophthalmology-expansion"/>
    <w:p>
      <w:pPr>
        <w:pStyle w:val="Heading3"/>
      </w:pPr>
      <w:r>
        <w:t xml:space="preserve">2. Tele-Ophthalmology Expansion</w:t>
      </w:r>
    </w:p>
    <w:p>
      <w:pPr>
        <w:pStyle w:val="FirstParagraph"/>
      </w:pPr>
      <w:r>
        <w:t xml:space="preserve">To improve accessibility across Greater Manchester, tele-ophthalmology services were expanded. This initiative allows general practitioners in remote parts of the city to upload retinal images for review by a specialist</w:t>
      </w:r>
      <w:r>
        <w:t xml:space="preserve"> </w:t>
      </w:r>
      <w:r>
        <w:rPr>
          <w:bCs/>
          <w:b/>
        </w:rPr>
        <w:t xml:space="preserve">Ophthalmologist</w:t>
      </w:r>
      <w:r>
        <w:t xml:space="preserve">. This triage system ensures that patients requiring urgent intervention are referred quickly, while those with stable conditions can manage their care remotely.</w:t>
      </w:r>
    </w:p>
    <w:bookmarkEnd w:id="23"/>
    <w:bookmarkStart w:id="24" w:name="X020d713113918a750892002978dd9f5a3a5b343"/>
    <w:p>
      <w:pPr>
        <w:pStyle w:val="Heading3"/>
      </w:pPr>
      <w:r>
        <w:t xml:space="preserve">3. Specialized Clinics for Complex Conditions</w:t>
      </w:r>
    </w:p>
    <w:p>
      <w:pPr>
        <w:pStyle w:val="FirstParagraph"/>
      </w:pPr>
      <w:r>
        <w:t xml:space="preserve">A significant feature of the Manchester model is the establishment of dedicated clinics for complex conditions such as diabetic eye disease and pediatric ophthalmology. By concentrating expertise, an</w:t>
      </w:r>
      <w:r>
        <w:t xml:space="preserve"> </w:t>
      </w:r>
      <w:r>
        <w:rPr>
          <w:bCs/>
          <w:b/>
        </w:rPr>
        <w:t xml:space="preserve">Ophthalmologist</w:t>
      </w:r>
      <w:r>
        <w:t xml:space="preserve"> </w:t>
      </w:r>
      <w:r>
        <w:t xml:space="preserve">specializing in diabetes can manage hundreds of patients efficiently, reducing waiting times from months to weeks.</w:t>
      </w:r>
    </w:p>
    <w:bookmarkEnd w:id="24"/>
    <w:bookmarkStart w:id="25" w:name="X5cf07835b056020aa79e8a09989ff9b45e0eec3"/>
    <w:p>
      <w:pPr>
        <w:pStyle w:val="Heading3"/>
      </w:pPr>
      <w:r>
        <w:t xml:space="preserve">Case Spotlight: Diabetic Retinopathy Management</w:t>
      </w:r>
    </w:p>
    <w:p>
      <w:pPr>
        <w:pStyle w:val="FirstParagraph"/>
      </w:pPr>
      <w:r>
        <w:rPr>
          <w:bCs/>
          <w:b/>
        </w:rPr>
        <w:t xml:space="preserve">Patient Profile:</w:t>
      </w:r>
      <w:r>
        <w:t xml:space="preserve">A 54-year-old resident of East Manchester with Type 2 diabetes and poor glycemic control.</w:t>
      </w:r>
    </w:p>
    <w:p>
      <w:pPr>
        <w:pStyle w:val="BodyText"/>
      </w:pPr>
      <w:r>
        <w:rPr>
          <w:bCs/>
          <w:b/>
        </w:rPr>
        <w:t xml:space="preserve">Challenge:</w:t>
      </w:r>
      <w:r>
        <w:t xml:space="preserve">The patient presented with mild non-proliferative diabetic retinopathy. Without intervention, this would likely progress to proliferative stages, risking blindness.</w:t>
      </w:r>
    </w:p>
    <w:p>
      <w:pPr>
        <w:pStyle w:val="BodyText"/>
      </w:pPr>
      <w:r>
        <w:rPr>
          <w:bCs/>
          <w:b/>
        </w:rPr>
        <w:t xml:space="preserve">Action:</w:t>
      </w:r>
      <w:r>
        <w:t xml:space="preserve">An</w:t>
      </w:r>
      <w:r>
        <w:t xml:space="preserve"> </w:t>
      </w:r>
      <w:hyperlink w:anchor="Xa39a3ee5e6b4b0d3255bfef95601890afd80709">
        <w:r>
          <w:rPr>
            <w:rStyle w:val="Hyperlink"/>
          </w:rPr>
          <w:t xml:space="preserve">Ophthalmologist</w:t>
        </w:r>
      </w:hyperlink>
      <w:r>
        <w:t xml:space="preserve"> </w:t>
      </w:r>
      <w:r>
        <w:t xml:space="preserve">at a Manchester specialist center initiated regular monitoring using wide-field fundus photography and provided intensive lifestyle counseling coordinated with local dietitians.</w:t>
      </w:r>
    </w:p>
    <w:p>
      <w:pPr>
        <w:pStyle w:val="BodyText"/>
      </w:pPr>
      <w:r>
        <w:rPr>
          <w:bCs/>
          <w:b/>
        </w:rPr>
        <w:t xml:space="preserve">Outcome:</w:t>
      </w:r>
      <w:r>
        <w:t xml:space="preserve">After 12 months, the patient’s blood sugar levels improved, and the retinopathy stabilized. The specialized care prevented the need for laser photocoagulation surgery, preserving the patient’s quality of life.</w:t>
      </w:r>
    </w:p>
    <w:bookmarkEnd w:id="25"/>
    <w:bookmarkEnd w:id="26"/>
    <w:bookmarkStart w:id="27" w:name="economic-and-social-impact"/>
    <w:p>
      <w:pPr>
        <w:pStyle w:val="Heading2"/>
      </w:pPr>
      <w:r>
        <w:t xml:space="preserve">Economic and Social Impact</w:t>
      </w:r>
    </w:p>
    <w:p>
      <w:pPr>
        <w:pStyle w:val="FirstParagraph"/>
      </w:pPr>
      <w:r>
        <w:t xml:space="preserve">The implementation of these advanced ophthalmology services in United Kingdom Manchester has yielded significant economic benefits. By focusing on prevention and early intervention through an</w:t>
      </w:r>
      <w:r>
        <w:t xml:space="preserve"> </w:t>
      </w:r>
      <w:r>
        <w:rPr>
          <w:bCs/>
          <w:b/>
        </w:rPr>
        <w:t xml:space="preserve">Ophthalmologist</w:t>
      </w:r>
      <w:r>
        <w:t xml:space="preserve">, the healthcare system reduces the burden of complex surgeries later in life. The cost savings associated with treating advanced glaucoma or late-stage AMD are substantial, allowing funds to be redirected toward community health programs.</w:t>
      </w:r>
    </w:p>
    <w:p>
      <w:pPr>
        <w:pStyle w:val="BodyText"/>
      </w:pPr>
      <w:r>
        <w:t xml:space="preserve">Socially, improved vision leads to better employment outcomes and social integration. In a city like Manchester, where economic mobility is crucial for marginalized communities, ensuring access to an</w:t>
      </w:r>
      <w:r>
        <w:t xml:space="preserve"> </w:t>
      </w:r>
      <w:r>
        <w:rPr>
          <w:bCs/>
          <w:b/>
        </w:rPr>
        <w:t xml:space="preserve">Ophthalmologist</w:t>
      </w:r>
      <w:r>
        <w:t xml:space="preserve"> </w:t>
      </w:r>
      <w:r>
        <w:t xml:space="preserve">helps break the cycle of poverty linked with disability. Free screening programs targeting low-income boroughs have successfully identified hundreds of previously undiagnosed cases each year.</w:t>
      </w:r>
    </w:p>
    <w:bookmarkEnd w:id="27"/>
    <w:bookmarkStart w:id="28" w:name="challenges-and-future-directions"/>
    <w:p>
      <w:pPr>
        <w:pStyle w:val="Heading2"/>
      </w:pPr>
      <w:r>
        <w:t xml:space="preserve">Challenges and Future Directions</w:t>
      </w:r>
    </w:p>
    <w:p>
      <w:pPr>
        <w:pStyle w:val="FirstParagraph"/>
      </w:pPr>
      <w:r>
        <w:t xml:space="preserve">Despite these successes, challenges remain. Staffing shortages are a pressing issue across the National Health Service (NHS) in the United Kingdom. Manchester is not immune to this trend, and retaining highly skilled</w:t>
      </w:r>
      <w:r>
        <w:t xml:space="preserve"> </w:t>
      </w:r>
      <w:r>
        <w:rPr>
          <w:bCs/>
          <w:b/>
        </w:rPr>
        <w:t xml:space="preserve">Ophthalmologist</w:t>
      </w:r>
      <w:r>
        <w:t xml:space="preserve"> </w:t>
      </w:r>
      <w:r>
        <w:t xml:space="preserve">specialists requires competitive incentives and robust training programs.</w:t>
      </w:r>
    </w:p>
    <w:p>
      <w:pPr>
        <w:pStyle w:val="BodyText"/>
      </w:pPr>
      <w:r>
        <w:t xml:space="preserve">Furthermore, data privacy and security in digital health platforms remain a concern as tele-ophthalmology expands. Ensuring that patient data shared between GPs and</w:t>
      </w:r>
      <w:r>
        <w:t xml:space="preserve"> </w:t>
      </w:r>
      <w:hyperlink w:anchor="Xa39a3ee5e6b4b0d3255bfef95601890afd80709">
        <w:r>
          <w:rPr>
            <w:rStyle w:val="Hyperlink"/>
          </w:rPr>
          <w:t xml:space="preserve">Ophthalmologist</w:t>
        </w:r>
      </w:hyperlink>
      <w:r>
        <w:t xml:space="preserve"> </w:t>
      </w:r>
      <w:r>
        <w:t xml:space="preserve">consultants complies with GDPR is essential for maintaining public trust.</w:t>
      </w:r>
    </w:p>
    <w:bookmarkEnd w:id="28"/>
    <w:bookmarkStart w:id="29" w:name="conclusion"/>
    <w:p>
      <w:pPr>
        <w:pStyle w:val="Heading2"/>
      </w:pPr>
      <w:r>
        <w:t xml:space="preserve">Conclusion</w:t>
      </w:r>
    </w:p>
    <w:p>
      <w:pPr>
        <w:pStyle w:val="FirstParagraph"/>
      </w:pPr>
      <w:r>
        <w:t xml:space="preserve">The case of Manchester demonstrates that a proactive, technology-driven approach to eye care can significantly improve public health outcomes. By positioning the specialist</w:t>
      </w:r>
      <w:r>
        <w:t xml:space="preserve"> </w:t>
      </w:r>
      <w:r>
        <w:rPr>
          <w:bCs/>
          <w:b/>
        </w:rPr>
        <w:t xml:space="preserve">Ophthalmologist</w:t>
      </w:r>
      <w:r>
        <w:t xml:space="preserve"> </w:t>
      </w:r>
      <w:r>
        <w:t xml:space="preserve">at the center of a collaborative healthcare network, United Kingdom Manchester has created a model that is both efficient and equitable. This case study serves as a blueprint for other urban centers facing similar demographic pressures.</w:t>
      </w:r>
    </w:p>
    <w:p>
      <w:pPr>
        <w:pStyle w:val="BodyText"/>
      </w:pPr>
      <w:r>
        <w:t xml:space="preserve">The synergy between advanced medical technology, specialized human expertise in the form of an</w:t>
      </w:r>
    </w:p>
    <w:p>
      <w:pPr>
        <w:pStyle w:val="BodyText"/>
      </w:pPr>
      <w:r>
        <w:t xml:space="preserve">Ophthalmologist</w:t>
      </w:r>
    </w:p>
    <w:p>
      <w:pPr>
        <w:pStyle w:val="BodyText"/>
      </w:pPr>
      <w:r>
        <w:rPr>
          <w:iCs/>
          <w:i/>
        </w:rPr>
        <w:t xml:space="preserve">This document is for informational purposes only. It highlights general trends and case studies within the healthcare sector in United Kingdom Manchester.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Ophthalmological Care in United Kingdom Manchester</dc:title>
  <dc:creator/>
  <dc:language>en</dc:language>
  <cp:keywords/>
  <dcterms:created xsi:type="dcterms:W3CDTF">2026-07-29T13:59:12Z</dcterms:created>
  <dcterms:modified xsi:type="dcterms:W3CDTF">2026-07-29T13:59:12Z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