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Ophthalmology</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Houston</w:t>
      </w:r>
    </w:p>
    <w:bookmarkStart w:id="28" w:name="X1cfa7b56dbd1c94bb6b414d9e6e924fb8a6ce50"/>
    <w:p>
      <w:pPr>
        <w:pStyle w:val="Heading1"/>
      </w:pPr>
      <w:r>
        <w:t xml:space="preserve">Case Study: Transforming Eye Care Delivery for an Ophthalmologist in United States Houston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Operational and Clinical Optimization for a Leading Ophthalmologist Practice</w:t>
      </w:r>
      <w:r>
        <w:br/>
      </w:r>
      <w:r>
        <w:rPr>
          <w:bCs/>
          <w:b/>
        </w:rPr>
        <w:t xml:space="preserve">Location:</w:t>
      </w:r>
      <w:r>
        <w:t xml:space="preserve"> </w:t>
      </w:r>
      <w:r>
        <w:t xml:space="preserve">United States Houston, Texas</w:t>
      </w:r>
    </w:p>
    <w:p>
      <w:pPr>
        <w:pStyle w:val="BodyText"/>
      </w:pPr>
      <w:r>
        <w:t xml:space="preserve">p&gt;The healthcare landscape in the United States is undergoing rapid transformation, driven by technological advancements, shifting patient demographics, and evolving regulatory frameworks. In this case study, we examine a comprehensive operational overhaul implemented for a mid-sized private practice specializing in ophthalmology. The practice is located in Houston, Texas—a major metropolitan hub within the United States known for its diverse population and robust medical infrastructure. The primary goal was to enhance patient outcomes, streamline clinical workflows, and improve financial sustainability while maintaining the highest standards of care typical of top-tier</w:t>
      </w:r>
      <w:r>
        <w:t xml:space="preserve"> </w:t>
      </w:r>
      <w:r>
        <w:rPr>
          <w:bCs/>
          <w:b/>
        </w:rPr>
        <w:t xml:space="preserve">Ophthalmologist</w:t>
      </w:r>
      <w:r>
        <w:t xml:space="preserve"> </w:t>
      </w:r>
      <w:r>
        <w:t xml:space="preserve">practices in the region. By focusing on specific challenges unique to operating in</w:t>
      </w:r>
      <w:r>
        <w:t xml:space="preserve"> </w:t>
      </w:r>
      <w:r>
        <w:rPr>
          <w:bCs/>
          <w:b/>
        </w:rPr>
        <w:t xml:space="preserve">United States Houston</w:t>
      </w:r>
      <w:r>
        <w:t xml:space="preserve">, this document outlines the strategic interventions applied and their measurable results.</w:t>
      </w:r>
    </w:p>
    <w:bookmarkStart w:id="20" w:name="Xf3d7afc094c42f9f1336d5b5d5ba71c69dd076b"/>
    <w:p>
      <w:pPr>
        <w:pStyle w:val="Heading2"/>
      </w:pPr>
      <w:r>
        <w:t xml:space="preserve">The Challenge: A Growing Practice in a Competitive Market</w:t>
      </w:r>
    </w:p>
    <w:p>
      <w:pPr>
        <w:pStyle w:val="FirstParagraph"/>
      </w:pPr>
      <w:r>
        <w:t xml:space="preserve">The practice, led by a board-certified ophthalmologist with over fifteen years of experience, had established itself as a trusted provider of eye care in West Houston. However, despite clinical excellence, the practice faced significant operational bottlenecks. The patient volume had increased by 40% over three years due to referral growth and an expanding local population in</w:t>
      </w:r>
      <w:r>
        <w:t xml:space="preserve"> </w:t>
      </w:r>
      <w:r>
        <w:rPr>
          <w:bCs/>
          <w:b/>
        </w:rPr>
        <w:t xml:space="preserve">United States Houston</w:t>
      </w:r>
      <w:r>
        <w:t xml:space="preserve">. This surge overwhelmed existing administrative systems and clinical scheduling protocols.</w:t>
      </w:r>
    </w:p>
    <w:p>
      <w:pPr>
        <w:pStyle w:val="BodyText"/>
      </w:pPr>
      <w:r>
        <w:t xml:space="preserve">Key challenges identified included:</w:t>
      </w:r>
    </w:p>
    <w:p>
      <w:pPr>
        <w:numPr>
          <w:ilvl w:val="0"/>
          <w:numId w:val="1001"/>
        </w:numPr>
        <w:pStyle w:val="Compact"/>
      </w:pPr>
      <w:r>
        <w:rPr>
          <w:bCs/>
          <w:b/>
        </w:rPr>
        <w:t xml:space="preserve">Patient Wait Times:</w:t>
      </w:r>
    </w:p>
    <w:p>
      <w:pPr>
        <w:numPr>
          <w:ilvl w:val="0"/>
          <w:numId w:val="1001"/>
        </w:numPr>
        <w:pStyle w:val="Compact"/>
      </w:pPr>
      <w:r>
        <w:t xml:space="preserve">Clinic no-show rates were averaging 12%, leading to lost revenue and inefficient use of the ophthalmologist’s time.</w:t>
      </w:r>
    </w:p>
    <w:p>
      <w:pPr>
        <w:numPr>
          <w:ilvl w:val="0"/>
          <w:numId w:val="1001"/>
        </w:numPr>
        <w:pStyle w:val="Compact"/>
      </w:pPr>
      <w:r>
        <w:t xml:space="preserve">Digital Integration Gaps:: The practice relied heavily on paper-based records for initial intake, causing delays in data entry into the Electronic Health Record (EHR) system. This lack of seamless integration hindered real-time decision-making for the</w:t>
      </w:r>
      <w:r>
        <w:t xml:space="preserve"> </w:t>
      </w:r>
      <w:r>
        <w:rPr>
          <w:bCs/>
          <w:b/>
        </w:rPr>
        <w:t xml:space="preserve">Ophthalmologist</w:t>
      </w:r>
      <w:r>
        <w:t xml:space="preserve">.</w:t>
      </w:r>
    </w:p>
    <w:p>
      <w:pPr>
        <w:numPr>
          <w:ilvl w:val="0"/>
          <w:numId w:val="1001"/>
        </w:numPr>
        <w:pStyle w:val="Compact"/>
      </w:pPr>
      <w:r>
        <w:t xml:space="preserve">Specialized Care Coordination:: Patients with complex conditions such as glaucoma, diabetic retinopathy, and macular degeneration required frequent monitoring. The fragmented communication between optometrists, retina specialists, and administrative staff resulted in missed follow-ups.</w:t>
      </w:r>
    </w:p>
    <w:p>
      <w:pPr>
        <w:numPr>
          <w:ilvl w:val="0"/>
          <w:numId w:val="1001"/>
        </w:numPr>
        <w:pStyle w:val="Compact"/>
      </w:pPr>
      <w:r>
        <w:t xml:space="preserve">Regional Competition:: In</w:t>
      </w:r>
      <w:r>
        <w:t xml:space="preserve"> </w:t>
      </w:r>
      <w:r>
        <w:rPr>
          <w:bCs/>
          <w:b/>
        </w:rPr>
        <w:t xml:space="preserve">United States Houston</w:t>
      </w:r>
      <w:r>
        <w:t xml:space="preserve">, patients have access to major academic medical centers and large hospital systems. To remain competitive, the private practice needed to offer a patient experience that rivaled larger institutions, focusing on convenience, speed, and personalized care.</w:t>
      </w:r>
    </w:p>
    <w:bookmarkEnd w:id="20"/>
    <w:bookmarkStart w:id="24" w:name="X234e5998e235635a2e3c5debb380019aefb25cd"/>
    <w:p>
      <w:pPr>
        <w:pStyle w:val="Heading2"/>
      </w:pPr>
      <w:r>
        <w:t xml:space="preserve">The Solution: A Holistic Digital Transformation Strategy</w:t>
      </w:r>
    </w:p>
    <w:p>
      <w:pPr>
        <w:pStyle w:val="FirstParagraph"/>
      </w:pPr>
      <w:r>
        <w:t xml:space="preserve">To address these challenges, a three-phase implementation plan was developed. This strategy focused on technology adoption, process re-engineering, and patient engagement.</w:t>
      </w:r>
    </w:p>
    <w:bookmarkStart w:id="21" w:name="Xfe2c663a9b0e71b6676ce656e70ed611584deda"/>
    <w:p>
      <w:pPr>
        <w:pStyle w:val="Heading3"/>
      </w:pPr>
      <w:r>
        <w:t xml:space="preserve">Phase 1: Technology Infrastructure Upgrade</w:t>
      </w:r>
    </w:p>
    <w:p>
      <w:pPr>
        <w:pStyle w:val="FirstParagraph"/>
      </w:pPr>
      <w:r>
        <w:t xml:space="preserve">The first step involved upgrading the practice’s technological backbone. The legacy EHR system was replaced with a cloud-based platform specifically designed for ophthalmology. This new software offered specialized tools for tracking intraocular pressure, visual field testing, and optical coherence tomography (OCT) scans. Crucially, it integrated seamlessly with diagnostic devices commonly used by an</w:t>
      </w:r>
      <w:r>
        <w:t xml:space="preserve"> </w:t>
      </w:r>
      <w:r>
        <w:rPr>
          <w:bCs/>
          <w:b/>
        </w:rPr>
        <w:t xml:space="preserve">Ophthalmologist</w:t>
      </w:r>
      <w:r>
        <w:t xml:space="preserve">, allowing automatic data transfer from machines to the patient record.</w:t>
      </w:r>
    </w:p>
    <w:p>
      <w:pPr>
        <w:pStyle w:val="BodyText"/>
      </w:pPr>
      <w:r>
        <w:t xml:space="preserve">Furthermore, a comprehensive telemedicine platform was implemented. This allowed for virtual follow-ups for stable chronic conditions, reducing the need for in-person visits and optimizing the schedule of the lead physician.</w:t>
      </w:r>
    </w:p>
    <w:bookmarkEnd w:id="21"/>
    <w:bookmarkStart w:id="22" w:name="X668188d2e5b90623a76b57c3a649017baaaca12"/>
    <w:p>
      <w:pPr>
        <w:pStyle w:val="Heading3"/>
      </w:pPr>
      <w:r>
        <w:t xml:space="preserve">Phase 2: Workflow Optimization and Staff Training</w:t>
      </w:r>
    </w:p>
    <w:p>
      <w:pPr>
        <w:pStyle w:val="FirstParagraph"/>
      </w:pPr>
      <w:r>
        <w:t xml:space="preserve">In parallel with technology upgrades, clinical workflows were mapped and redesigned. The practice adopted a "team-based care" model where medical assistants handled preliminary diagnostics such as visual acuity testing and tonometry before the</w:t>
      </w:r>
      <w:r>
        <w:t xml:space="preserve"> </w:t>
      </w:r>
      <w:r>
        <w:rPr>
          <w:bCs/>
          <w:b/>
        </w:rPr>
        <w:t xml:space="preserve">Ophthalmologist</w:t>
      </w:r>
      <w:r>
        <w:t xml:space="preserve"> </w:t>
      </w:r>
      <w:r>
        <w:t xml:space="preserve">entered the room. This ensured that when the physician did see the patient, all relevant data was already compiled.</w:t>
      </w:r>
    </w:p>
    <w:p>
      <w:pPr>
        <w:pStyle w:val="BodyText"/>
      </w:pPr>
      <w:r>
        <w:t xml:space="preserve">Staff training was intensive, focusing on both technical proficiency with new software and soft skills for patient interaction. Special emphasis was placed on cultural competency training to serve the diverse demographic of</w:t>
      </w:r>
      <w:r>
        <w:t xml:space="preserve"> </w:t>
      </w:r>
      <w:r>
        <w:rPr>
          <w:bCs/>
          <w:b/>
        </w:rPr>
        <w:t xml:space="preserve">United States Houston</w:t>
      </w:r>
      <w:r>
        <w:t xml:space="preserve">, which includes significant Hispanic, Asian, and African American communities. This ensured that communication barriers were minimized.</w:t>
      </w:r>
    </w:p>
    <w:bookmarkEnd w:id="22"/>
    <w:bookmarkStart w:id="23" w:name="X87ae5781b042b053d5a030122f3e1ff8a7cd744"/>
    <w:p>
      <w:pPr>
        <w:pStyle w:val="Heading3"/>
      </w:pPr>
      <w:r>
        <w:t xml:space="preserve">Phase 3: Patient Engagement and Retention Programs</w:t>
      </w:r>
    </w:p>
    <w:p>
      <w:pPr>
        <w:pStyle w:val="FirstParagraph"/>
      </w:pPr>
      <w:r>
        <w:t xml:space="preserve">To combat high no-show rates, an automated reminder system was deployed via SMS, email, and phone calls. The system provided patients with educational content relevant to their specific conditions (e.g., glaucoma management tips), thereby increasing engagement.</w:t>
      </w:r>
    </w:p>
    <w:p>
      <w:pPr>
        <w:pStyle w:val="BodyText"/>
      </w:pPr>
      <w:r>
        <w:t xml:space="preserve">A dedicated patient liaison role was created to assist with insurance pre-authorizations and billing queries. This reduced administrative burdens on the clinical staff and improved cash flow management.</w:t>
      </w:r>
    </w:p>
    <w:bookmarkEnd w:id="23"/>
    <w:bookmarkEnd w:id="24"/>
    <w:bookmarkStart w:id="25" w:name="Xfde64fe547fd62268699922ff213096c2470f74"/>
    <w:p>
      <w:pPr>
        <w:pStyle w:val="Heading2"/>
      </w:pPr>
      <w:r>
        <w:t xml:space="preserve">Implementation in the Context of United States Houston</w:t>
      </w:r>
    </w:p>
    <w:p>
      <w:pPr>
        <w:pStyle w:val="FirstParagraph"/>
      </w:pPr>
      <w:r>
        <w:t xml:space="preserve">The implementation strategy specifically accounted for local factors in</w:t>
      </w:r>
      <w:r>
        <w:t xml:space="preserve"> </w:t>
      </w:r>
      <w:r>
        <w:rPr>
          <w:bCs/>
          <w:b/>
        </w:rPr>
        <w:t xml:space="preserve">United States Houston</w:t>
      </w:r>
      <w:r>
        <w:t xml:space="preserve">. For instance, traffic congestion in Houston is notorious. To mitigate this, the practice optimized its scheduling algorithm to cluster appointments geographically and by time-of-day, reducing patient wait times during peak traffic hours. Additionally, partnerships with local optical labs were strengthened to ensure rapid turnaround for glasses and contacts, a critical factor for patient satisfaction in the fast-paced Houston environment.</w:t>
      </w:r>
    </w:p>
    <w:p>
      <w:pPr>
        <w:pStyle w:val="BodyText"/>
      </w:pPr>
      <w:r>
        <w:t xml:space="preserve">The diverse population of</w:t>
      </w:r>
      <w:r>
        <w:t xml:space="preserve"> </w:t>
      </w:r>
      <w:r>
        <w:rPr>
          <w:bCs/>
          <w:b/>
        </w:rPr>
        <w:t xml:space="preserve">United States Houston</w:t>
      </w:r>
      <w:r>
        <w:t xml:space="preserve"> </w:t>
      </w:r>
      <w:r>
        <w:t xml:space="preserve">necessitated multilingual support materials. The practice invested in translated digital resources and hired bilingual front-desk staff, directly addressing the needs of its community and enhancing trust.</w:t>
      </w:r>
    </w:p>
    <w:bookmarkEnd w:id="25"/>
    <w:bookmarkStart w:id="26" w:name="results-and-outcomes"/>
    <w:p>
      <w:pPr>
        <w:pStyle w:val="Heading2"/>
      </w:pPr>
      <w:r>
        <w:t xml:space="preserve">Results and Outcomes</w:t>
      </w:r>
    </w:p>
    <w:p>
      <w:pPr>
        <w:pStyle w:val="FirstParagraph"/>
      </w:pPr>
      <w:r>
        <w:t xml:space="preserve">Six months post-implementation, the practice reported significant improvements across all key performance indicators:</w:t>
      </w:r>
    </w:p>
    <w:p>
      <w:pPr>
        <w:numPr>
          <w:ilvl w:val="0"/>
          <w:numId w:val="1002"/>
        </w:numPr>
        <w:pStyle w:val="Compact"/>
      </w:pPr>
      <w:r>
        <w:t xml:space="preserve">Clinical Efficiency:: The average time spent by the ophthalmologist per patient decreased by 15% due to pre-loaded data, allowing for more patients to be seen daily without compromising care quality. This is a critical metric for any dedicated</w:t>
      </w:r>
      <w:r>
        <w:t xml:space="preserve"> </w:t>
      </w:r>
      <w:r>
        <w:rPr>
          <w:bCs/>
          <w:b/>
        </w:rPr>
        <w:t xml:space="preserve">Ophthalmologist</w:t>
      </w:r>
      <w:r>
        <w:t xml:space="preserve">.</w:t>
      </w:r>
    </w:p>
    <w:p>
      <w:pPr>
        <w:numPr>
          <w:ilvl w:val="0"/>
          <w:numId w:val="1002"/>
        </w:numPr>
        <w:pStyle w:val="Compact"/>
      </w:pPr>
      <w:r>
        <w:t xml:space="preserve">No-Show Reduction:: No-show rates dropped from 12% to 3%, resulting in a substantial increase in annual revenue.</w:t>
      </w:r>
    </w:p>
    <w:p>
      <w:pPr>
        <w:numPr>
          <w:ilvl w:val="0"/>
          <w:numId w:val="1002"/>
        </w:numPr>
        <w:pStyle w:val="Compact"/>
      </w:pPr>
      <w:r>
        <w:t xml:space="preserve">Patient Satisfaction Scores:: Net Promoter Scores (NPS) increased by 40 points. Patients specifically praised the ease of scheduling and the thoroughness of appointments.</w:t>
      </w:r>
    </w:p>
    <w:p>
      <w:pPr>
        <w:numPr>
          <w:ilvl w:val="0"/>
          <w:numId w:val="1002"/>
        </w:numPr>
        <w:pStyle w:val="Compact"/>
      </w:pPr>
      <w:r>
        <w:t xml:space="preserve">Clinical Outcomes:: Early detection rates for glaucoma improved by 20%, attributed to better data tracking and consistent follow-up reminders.</w:t>
      </w:r>
    </w:p>
    <w:bookmarkEnd w:id="26"/>
    <w:bookmarkStart w:id="27" w:name="conclusion"/>
    <w:p>
      <w:pPr>
        <w:pStyle w:val="Heading2"/>
      </w:pPr>
      <w:r>
        <w:t xml:space="preserve">Conclusion</w:t>
      </w:r>
    </w:p>
    <w:p>
      <w:pPr>
        <w:pStyle w:val="FirstParagraph"/>
      </w:pPr>
      <w:r>
        <w:t xml:space="preserve">This case study demonstrates that even established practices can achieve transformative growth through strategic digital integration and patient-centric workflow design. For an</w:t>
      </w:r>
      <w:r>
        <w:t xml:space="preserve"> </w:t>
      </w:r>
      <w:r>
        <w:rPr>
          <w:bCs/>
          <w:b/>
        </w:rPr>
        <w:t xml:space="preserve">Ophthalmologist</w:t>
      </w:r>
      <w:r>
        <w:t xml:space="preserve"> </w:t>
      </w:r>
      <w:r>
        <w:t xml:space="preserve">operating in the competitive medical landscape of</w:t>
      </w:r>
      <w:r>
        <w:t xml:space="preserve"> </w:t>
      </w:r>
      <w:r>
        <w:rPr>
          <w:bCs/>
          <w:b/>
        </w:rPr>
        <w:t xml:space="preserve">United States Houston</w:t>
      </w:r>
      <w:r>
        <w:t xml:space="preserve">, adapting to technological changes is not merely an option but a necessity for sustained success. By leveraging cloud-based technologies, optimizing staff roles, and engaging patients through personalized communication, the practice has not only improved its operational efficiency but also significantly enhanced patient care.</w:t>
      </w:r>
    </w:p>
    <w:p>
      <w:pPr>
        <w:pStyle w:val="BodyText"/>
      </w:pPr>
      <w:r>
        <w:t xml:space="preserve">The specific context of</w:t>
      </w:r>
      <w:r>
        <w:t xml:space="preserve"> </w:t>
      </w:r>
      <w:r>
        <w:rPr>
          <w:bCs/>
          <w:b/>
        </w:rPr>
        <w:t xml:space="preserve">United States Houston</w:t>
      </w:r>
      <w:r>
        <w:t xml:space="preserve">, with its unique demographic diversity and logistical challenges, provided both hurdles and opportunities. By tailoring solutions to these local nuances, the practice has set a new standard for ophthalmic care in the region. This case serves as a blueprint for other healthcare providers looking to modernize their operations while maintaining the high-quality, personalized attention that patients expect from skilled medical professionals.</w:t>
      </w:r>
    </w:p>
    <w:p>
      <w:pPr>
        <w:pStyle w:val="BodyText"/>
      </w:pPr>
      <w:r>
        <w:t xml:space="preserve">As healthcare continues to evolve in</w:t>
      </w:r>
      <w:r>
        <w:t xml:space="preserve"> </w:t>
      </w:r>
      <w:r>
        <w:rPr>
          <w:bCs/>
          <w:b/>
        </w:rPr>
        <w:t xml:space="preserve">United States Houston</w:t>
      </w:r>
      <w:r>
        <w:t xml:space="preserve">, practices must remain agile, continuously integrating new tools and methodologies. The success of this ophthalmology practice underscores the importance of viewing technology not just as a support tool, but as a core component of clinical strategy and patient relationship management.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Ophthalmology Practice in United States Houston</dc:title>
  <dc:creator/>
  <dc:language>en</dc:language>
  <cp:keywords/>
  <dcterms:created xsi:type="dcterms:W3CDTF">2026-07-29T18:58:44Z</dcterms:created>
  <dcterms:modified xsi:type="dcterms:W3CDTF">2026-07-29T18:58:44Z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