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Ophthalmologist</w:t>
      </w:r>
      <w:r>
        <w:t xml:space="preserve"> </w:t>
      </w:r>
      <w:r>
        <w:t xml:space="preserve">in</w:t>
      </w:r>
      <w:r>
        <w:t xml:space="preserve"> </w:t>
      </w:r>
      <w:r>
        <w:t xml:space="preserve">Venezuela</w:t>
      </w:r>
      <w:r>
        <w:t xml:space="preserve"> </w:t>
      </w:r>
      <w:r>
        <w:t xml:space="preserve">Caracas</w:t>
      </w:r>
    </w:p>
    <w:bookmarkStart w:id="20" w:name="Xc199323dd4ccca910ea45c25bab36cab6258410"/>
    <w:p>
      <w:pPr>
        <w:pStyle w:val="Heading1"/>
      </w:pPr>
      <w:r>
        <w:t xml:space="preserve">Bridging the Gap in Vision Care A Case Study on the Role of the Ophthalmologist in Venezuela Caracas</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Caracas, Bolivarian Republic of Venezuela</w:t>
      </w:r>
      <w:r>
        <w:br/>
      </w:r>
      <w:r>
        <w:rPr>
          <w:bCs/>
          <w:b/>
        </w:rPr>
        <w:t xml:space="preserve">Subject:</w:t>
      </w:r>
      <w:r>
        <w:t xml:space="preserve">Ophthalmological Healthcare Services</w:t>
      </w:r>
    </w:p>
    <w:p>
      <w:pPr>
        <w:pStyle w:val="BodyText"/>
      </w:pPr>
      <w:r>
        <w:t xml:space="preserve">Ophthalmologist within the specific socio-economic and geopolitical context of</w:t>
      </w:r>
      <w:r>
        <w:t xml:space="preserve"> </w:t>
      </w:r>
      <w:r>
        <w:rPr>
          <w:bCs/>
          <w:b/>
        </w:rPr>
        <w:t xml:space="preserve">Venezuela Caracas</w:t>
      </w:r>
      <w:r>
        <w:t xml:space="preserve">. Despite systemic shortages in medical supplies, infrastructure decay, and economic volatility, ophthalmology remains a vital field due to high rates of chronic diseases such as diabetes and hypertension. This document analyzes how an independent private practice in Caracas navigates these obstacles to provide essential care to the local population.</w:t>
      </w:r>
    </w:p>
    <w:p>
      <w:pPr>
        <w:pStyle w:val="BodyText"/>
      </w:pPr>
      <w:r>
        <w:rPr>
          <w:bCs/>
          <w:b/>
        </w:rPr>
        <w:t xml:space="preserve">Venezuela Caracas</w:t>
      </w:r>
      <w:r>
        <w:t xml:space="preserve">, the capital city, serves as the political and economic hub of a nation facing prolonged crisis. While the healthcare system has seen improvements in primary care access through state-run programs, specialized care often faces resource constraints. In recent years, there has been a surge in medical migration among specialists including ophthalmologists leading to a shortage of experienced professionals.</w:t>
      </w:r>
    </w:p>
    <w:p>
      <w:pPr>
        <w:pStyle w:val="BodyText"/>
      </w:pPr>
      <w:r>
        <w:t xml:space="preserve">In this environment patients with complex eye conditions often seek private solutions or rely on humanitarian organizations supported clinics. The cost of imported diagnostic equipment and surgical materials in</w:t>
      </w:r>
      <w:r>
        <w:t xml:space="preserve"> </w:t>
      </w:r>
      <w:r>
        <w:rPr>
          <w:bCs/>
          <w:b/>
        </w:rPr>
        <w:t xml:space="preserve">Venezuela Caracas</w:t>
      </w:r>
      <w:r>
        <w:t xml:space="preserve"> </w:t>
      </w:r>
      <w:r>
        <w:t xml:space="preserve">fluctuates with the exchange rate making healthcare delivery financially precarious for practitioners. Understanding these dynamics is essential for any analysis of modern ophthalmological practice in this region.</w:t>
      </w:r>
    </w:p>
    <w:p>
      <w:pPr>
        <w:pStyle w:val="BodyText"/>
      </w:pPr>
      <w:r>
        <w:t xml:space="preserve">The primary objectives of this case study are to:</w:t>
      </w:r>
    </w:p>
    <w:p>
      <w:pPr>
        <w:numPr>
          <w:ilvl w:val="0"/>
          <w:numId w:val="1001"/>
        </w:numPr>
        <w:pStyle w:val="Compact"/>
      </w:pPr>
      <w:r>
        <w:t xml:space="preserve">Evaluate the operational challenges faced by an</w:t>
      </w:r>
      <w:r>
        <w:t xml:space="preserve"> </w:t>
      </w:r>
      <w:r>
        <w:rPr>
          <w:bCs/>
          <w:b/>
        </w:rPr>
        <w:t xml:space="preserve">Ophthalmologist</w:t>
      </w:r>
      <w:r>
        <w:t xml:space="preserve"> </w:t>
      </w:r>
      <w:r>
        <w:t xml:space="preserve">operating independently in a high-risk economic zone.</w:t>
      </w:r>
    </w:p>
    <w:p>
      <w:pPr>
        <w:numPr>
          <w:ilvl w:val="0"/>
          <w:numId w:val="1001"/>
        </w:numPr>
        <w:pStyle w:val="Compact"/>
      </w:pPr>
      <w:r>
        <w:t xml:space="preserve">Analyze the patient demographics and prevalent ophthalmological conditions in</w:t>
      </w:r>
      <w:r>
        <w:t xml:space="preserve"> </w:t>
      </w:r>
      <w:r>
        <w:rPr>
          <w:bCs/>
          <w:b/>
        </w:rPr>
        <w:t xml:space="preserve">Venezuela Caracas</w:t>
      </w:r>
      <w:r>
        <w:t xml:space="preserve">.</w:t>
      </w:r>
    </w:p>
    <w:p>
      <w:pPr>
        <w:numPr>
          <w:ilvl w:val="0"/>
          <w:numId w:val="1001"/>
        </w:numPr>
        <w:pStyle w:val="Compact"/>
      </w:pPr>
      <w:r>
        <w:t xml:space="preserve">Assess the impact of supply chain disruptions on surgical outcomes and diagnostic accuracy.</w:t>
      </w:r>
    </w:p>
    <w:p>
      <w:pPr>
        <w:numPr>
          <w:ilvl w:val="0"/>
          <w:numId w:val="1001"/>
        </w:numPr>
        <w:pStyle w:val="Compact"/>
      </w:pPr>
      <w:r>
        <w:t xml:space="preserve">Propose sustainable models for maintaining high standards of care amidst resource limitations.</w:t>
      </w:r>
    </w:p>
    <w:p>
      <w:pPr>
        <w:pStyle w:val="FirstParagraph"/>
      </w:pPr>
      <w:r>
        <w:t xml:space="preserve">Data was collected over a six-month period from three major private eye clinics in the Chacao and El Rosal districts of</w:t>
      </w:r>
      <w:r>
        <w:t xml:space="preserve"> </w:t>
      </w:r>
      <w:r>
        <w:rPr>
          <w:bCs/>
          <w:b/>
        </w:rPr>
        <w:t xml:space="preserve">Venezuela Caracas</w:t>
      </w:r>
      <w:r>
        <w:t xml:space="preserve">. Semi-structured interviews were conducted with five practicing ophthalmologists including two retina specialists and three general ophthalmic surgeons. Patient records (anonymized) from 200 cases were reviewed to identify trends in disease prevalence. Additionally supply chain logs were analyzed to track the availability of essential consumables such as intraocular lenses IOLs viscoelastic agents, and antibiotic drops.</w:t>
      </w:r>
    </w:p>
    <w:p>
      <w:pPr>
        <w:pStyle w:val="BodyText"/>
      </w:pPr>
      <w:r>
        <w:t xml:space="preserve">The study found a significant increase in diabetic retinopathy cases compared to global averages This is attributed to poor management of diabetes mellitus due to shortages of insulin and glucose monitoring strips in public facilities. Cataracts remain the leading cause of blindness but with delayed presentations resulting from patients avoiding non-urgent visits due cost or safety concerns Glaucoma detection rates were lower than expected suggesting a need for more proactive screening initiatives in</w:t>
      </w:r>
      <w:r>
        <w:t xml:space="preserve"> </w:t>
      </w:r>
      <w:r>
        <w:rPr>
          <w:bCs/>
          <w:b/>
        </w:rPr>
        <w:t xml:space="preserve">Venezuela Caracas</w:t>
      </w:r>
      <w:r>
        <w:t xml:space="preserve">.</w:t>
      </w:r>
    </w:p>
    <w:p>
      <w:pPr>
        <w:pStyle w:val="BodyText"/>
      </w:pPr>
      <w:r>
        <w:t xml:space="preserve">In this context the modern</w:t>
      </w:r>
      <w:r>
        <w:t xml:space="preserve"> </w:t>
      </w:r>
      <w:r>
        <w:rPr>
          <w:bCs/>
          <w:b/>
        </w:rPr>
        <w:t xml:space="preserve">Ophthalmologist</w:t>
      </w:r>
      <w:r>
        <w:t xml:space="preserve"> </w:t>
      </w:r>
      <w:r>
        <w:t xml:space="preserve">is not merely a clinician but also a logistics manager. Approximately 40% of their time is spent sourcing medical supplies often relying on informal networks or diaspora connections to import goods from Colombia Peru or the United States. The ability to secure reliable stock of sterile surgical kits and diagnostic reagents directly correlates with patient trust and clinical success rates.</w:t>
      </w:r>
    </w:p>
    <w:p>
      <w:pPr>
        <w:pStyle w:val="BodyText"/>
      </w:pPr>
      <w:r>
        <w:t xml:space="preserve">Frequent power outages in</w:t>
      </w:r>
      <w:r>
        <w:t xml:space="preserve"> </w:t>
      </w:r>
      <w:r>
        <w:rPr>
          <w:bCs/>
          <w:b/>
        </w:rPr>
        <w:t xml:space="preserve">Venezuela Caracas</w:t>
      </w:r>
    </w:p>
    <w:p>
      <w:pPr>
        <w:pStyle w:val="BodyText"/>
      </w:pPr>
      <w:r>
        <w:t xml:space="preserve">Necessitate the use of battery-powered or manual alternatives for critical procedures Many clinics have invested in solar energy solutions to keep phacoemulsification machines and laser equipment operational. Furthermore telemedicine has emerged as a supplementary tool allowing ophthalmologists to consult with international peers for complex retinal cases thereby mitigating brain drain effects by maintaining professional networks abroad.</w:t>
      </w:r>
    </w:p>
    <w:p>
      <w:pPr>
        <w:numPr>
          <w:ilvl w:val="0"/>
          <w:numId w:val="1002"/>
        </w:numPr>
        <w:pStyle w:val="Compact"/>
      </w:pPr>
      <w:r>
        <w:rPr>
          <w:bCs/>
          <w:b/>
        </w:rPr>
        <w:t xml:space="preserve">Economic Instability:</w:t>
      </w:r>
      <w:r>
        <w:t xml:space="preserve"> </w:t>
      </w:r>
      <w:r>
        <w:t xml:space="preserve">Hyperinflation and currency devaluation make it difficult to price services appropriately while ensuring affordability for the local population. Many ophthalmologists accept payment in USD or cryptocurrency to mitigate risk.</w:t>
      </w:r>
    </w:p>
    <w:p>
      <w:pPr>
        <w:numPr>
          <w:ilvl w:val="0"/>
          <w:numId w:val="1002"/>
        </w:numPr>
        <w:pStyle w:val="Compact"/>
      </w:pPr>
      <w:r>
        <w:rPr>
          <w:bCs/>
          <w:b/>
        </w:rPr>
        <w:t xml:space="preserve">Safety Concerns:</w:t>
      </w:r>
      <w:r>
        <w:t xml:space="preserve"> </w:t>
      </w:r>
      <w:r>
        <w:t xml:space="preserve">High crime rates in urban areas affect both staff safety and patient attendance particularly for evening appointments or emergency cataract surgeries.</w:t>
      </w:r>
    </w:p>
    <w:p>
      <w:pPr>
        <w:numPr>
          <w:ilvl w:val="0"/>
          <w:numId w:val="1002"/>
        </w:numPr>
        <w:pStyle w:val="Compact"/>
      </w:pPr>
      <w:r>
        <w:rPr>
          <w:bCs/>
          <w:b/>
        </w:rPr>
        <w:t xml:space="preserve">Equipment Maintenance:</w:t>
      </w:r>
      <w:r>
        <w:t xml:space="preserve"> </w:t>
      </w:r>
      <w:r>
        <w:t xml:space="preserve">Lack of technical support for advanced imaging devices like OCT scanners leads to extended downtimes. This forces reliance on less accurate diagnostic methods potentially delaying disease progression identification.</w:t>
      </w:r>
    </w:p>
    <w:p>
      <w:pPr>
        <w:pStyle w:val="FirstParagraph"/>
      </w:pPr>
      <w:r>
        <w:t xml:space="preserve">To overcome these hurdles successful ophthalmological practices in</w:t>
      </w:r>
      <w:r>
        <w:t xml:space="preserve"> </w:t>
      </w:r>
      <w:r>
        <w:rPr>
          <w:bCs/>
          <w:b/>
        </w:rPr>
        <w:t xml:space="preserve">Venezuela Caracas</w:t>
      </w:r>
    </w:p>
    <w:p>
      <w:pPr>
        <w:pStyle w:val="BodyText"/>
      </w:pPr>
      <w:r>
        <w:t xml:space="preserve">Adopt several key strategies:</w:t>
      </w:r>
    </w:p>
    <w:p>
      <w:pPr>
        <w:numPr>
          <w:ilvl w:val="0"/>
          <w:numId w:val="1003"/>
        </w:numPr>
        <w:pStyle w:val="Compact"/>
      </w:pPr>
      <w:r>
        <w:rPr>
          <w:bCs/>
          <w:b/>
        </w:rPr>
        <w:t xml:space="preserve">Multidisciplinary Collaboration:</w:t>
      </w:r>
      <w:r>
        <w:t xml:space="preserve">- Partnering with endocrinologists and general practitioners to manage underlying systemic conditions like diabetes which directly impact ocular health.</w:t>
      </w:r>
    </w:p>
    <w:p>
      <w:pPr>
        <w:numPr>
          <w:ilvl w:val="0"/>
          <w:numId w:val="1003"/>
        </w:numPr>
        <w:pStyle w:val="Compact"/>
      </w:pPr>
      <w:r>
        <w:rPr>
          <w:bCs/>
          <w:b/>
        </w:rPr>
        <w:t xml:space="preserve">Community Engagement:-</w:t>
      </w:r>
      <w:r>
        <w:t xml:space="preserve"> </w:t>
      </w:r>
      <w:r>
        <w:t xml:space="preserve">Conducting free screening camps in underserved areas of the city helps build brand loyalty and allows early detection of glaucoma and macular degeneration.</w:t>
      </w:r>
    </w:p>
    <w:p>
      <w:pPr>
        <w:numPr>
          <w:ilvl w:val="0"/>
          <w:numId w:val="1003"/>
        </w:numPr>
        <w:pStyle w:val="Compact"/>
      </w:pPr>
      <w:r>
        <w:t xml:space="preserve">Flexible Pricing Models:- Offering sliding scale fees based on socioeconomic status ensures that essential surgeries remain accessible to lower-income residents.</w:t>
      </w:r>
    </w:p>
    <w:p>
      <w:pPr>
        <w:pStyle w:val="FirstParagraph"/>
      </w:pPr>
      <w:r>
        <w:rPr>
          <w:bCs/>
          <w:b/>
        </w:rPr>
        <w:t xml:space="preserve">Key Insight:</w:t>
      </w:r>
      <w:r>
        <w:t xml:space="preserve"> </w:t>
      </w:r>
      <w:r>
        <w:t xml:space="preserve">The resilience of the ophthalmological sector in Venezuela Caracas is largely driven by the adaptability of individual practitioners who combine clinical excellence with entrepreneurial skill. The Ophthalmologist here functions as a crucial stabilizer in a fragmented healthcare system.</w:t>
      </w:r>
    </w:p>
    <w:p>
      <w:pPr>
        <w:pStyle w:val="BodyText"/>
      </w:pPr>
      <w:r>
        <w:t xml:space="preserve">Based on the findings of this case study several recommendations are proposed for stakeholders involved in healthcare delivery in</w:t>
      </w:r>
      <w:r>
        <w:t xml:space="preserve"> </w:t>
      </w:r>
      <w:r>
        <w:rPr>
          <w:bCs/>
          <w:b/>
        </w:rPr>
        <w:t xml:space="preserve">Venezuela Caracas</w:t>
      </w:r>
      <w:r>
        <w:t xml:space="preserve">:</w:t>
      </w:r>
    </w:p>
    <w:p>
      <w:pPr>
        <w:numPr>
          <w:ilvl w:val="0"/>
          <w:numId w:val="1004"/>
        </w:numPr>
        <w:pStyle w:val="Compact"/>
      </w:pPr>
      <w:r>
        <w:rPr>
          <w:bCs/>
          <w:b/>
        </w:rPr>
        <w:t xml:space="preserve">Prioritize Local Training Programs:</w:t>
      </w:r>
      <w:r>
        <w:t xml:space="preserve">- Support residency programs to retain young talent and reduce the rate of medical migration. Scholarships for ophthalmology training should be linked to service commitments within the local health system.</w:t>
      </w:r>
    </w:p>
    <w:p>
      <w:pPr>
        <w:numPr>
          <w:ilvl w:val="0"/>
          <w:numId w:val="1004"/>
        </w:numPr>
        <w:pStyle w:val="Compact"/>
      </w:pPr>
      <w:r>
        <w:rPr>
          <w:bCs/>
          <w:b/>
        </w:rPr>
        <w:t xml:space="preserve">Establish Regional Supply Hubs:</w:t>
      </w:r>
      <w:r>
        <w:t xml:space="preserve">- Create centralized distribution centers for essential ophthalmic supplies to reduce costs and ensure consistent availability across different clinics in the capital.</w:t>
      </w:r>
    </w:p>
    <w:p>
      <w:pPr>
        <w:numPr>
          <w:ilvl w:val="0"/>
          <w:numId w:val="1004"/>
        </w:numPr>
        <w:pStyle w:val="Compact"/>
      </w:pPr>
      <w:r>
        <w:rPr>
          <w:bCs/>
          <w:b/>
        </w:rPr>
        <w:t xml:space="preserve">Invest in Renewable Energy Infrastructure:-</w:t>
      </w:r>
      <w:r>
        <w:t xml:space="preserve">- Subsidies for solar power installations would significantly improve the reliability of high-tech diagnostic equipment and surgical procedures.</w:t>
      </w:r>
    </w:p>
    <w:p>
      <w:pPr>
        <w:numPr>
          <w:ilvl w:val="0"/>
          <w:numId w:val="1004"/>
        </w:numPr>
        <w:pStyle w:val="Compact"/>
      </w:pPr>
      <w:r>
        <w:t xml:space="preserve">Promote Tele-Ophthalmology Networks:- Strengthen partnerships with international medical institutions to facilitate remote consultations and continuous education for local ophthalmologists.</w:t>
      </w:r>
    </w:p>
    <w:p>
      <w:pPr>
        <w:pStyle w:val="FirstParagraph"/>
      </w:pPr>
      <w:r>
        <w:t xml:space="preserve">The role of the</w:t>
      </w:r>
      <w:r>
        <w:t xml:space="preserve"> </w:t>
      </w:r>
      <w:r>
        <w:rPr>
          <w:bCs/>
          <w:b/>
        </w:rPr>
        <w:t xml:space="preserve">Ophthalmologist</w:t>
      </w:r>
      <w:r>
        <w:t xml:space="preserve"> </w:t>
      </w:r>
      <w:r>
        <w:t xml:space="preserve">in</w:t>
      </w:r>
      <w:r>
        <w:t xml:space="preserve"> </w:t>
      </w:r>
      <w:r>
        <w:rPr>
          <w:bCs/>
          <w:b/>
        </w:rPr>
        <w:t xml:space="preserve">Venezuela Caracas</w:t>
      </w:r>
    </w:p>
    <w:p>
      <w:pPr>
        <w:pStyle w:val="BodyText"/>
      </w:pPr>
      <w:r>
        <w:t xml:space="preserve">extends far beyond traditional medical duties. It encompasses advocacy logistics management and community leadership in the face of systemic adversity. While challenges such as supply chain disruptions economic instability and safety concerns persist there is a clear path forward through innovation collaboration and strategic adaptation.</w:t>
      </w:r>
    </w:p>
    <w:p>
      <w:pPr>
        <w:pStyle w:val="BodyText"/>
      </w:pPr>
      <w:r>
        <w:t xml:space="preserve">This case study highlights that despite significant hurdles, high-quality eye care remains achievable in Caracas when supported by resilient professionals committed to their patients. By addressing the specific needs of this unique environment stakeholders can help ensure that vision health remains a priority amidst broader national challenges. The future of ophthalmology in</w:t>
      </w:r>
      <w:r>
        <w:t xml:space="preserve"> </w:t>
      </w:r>
      <w:r>
        <w:rPr>
          <w:bCs/>
          <w:b/>
        </w:rPr>
        <w:t xml:space="preserve">Venezuela Caracas</w:t>
      </w:r>
      <w:r>
        <w:t xml:space="preserve"> </w:t>
      </w:r>
      <w:r>
        <w:t xml:space="preserve">depends on sustained investment in human capital infrastructure and international solidarity.</w:t>
      </w:r>
    </w:p>
    <w:p>
      <w:pPr>
        <w:pStyle w:val="BodyText"/>
      </w:pPr>
      <w:r>
        <w:t xml:space="preserve">Note: References for this simulated case study are illustrative based on general trends observed in Latin American healthcare literature and reports from organizations such as the World Health Organization WHO Pan American Health Organization PAHO, local Venezuelan medical associations and anecdotal evidence from professional networks.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Ophthalmologist in Venezuela Caracas</dc:title>
  <dc:creator/>
  <dc:language>en</dc:language>
  <cp:keywords/>
  <dcterms:created xsi:type="dcterms:W3CDTF">2026-07-29T03:51:24Z</dcterms:created>
  <dcterms:modified xsi:type="dcterms:W3CDTF">2026-07-29T03:51:24Z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