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Australia</w:t>
      </w:r>
      <w:r>
        <w:t xml:space="preserve"> </w:t>
      </w:r>
      <w:r>
        <w:t xml:space="preserve">Sydney</w:t>
      </w:r>
    </w:p>
    <w:bookmarkStart w:id="32" w:name="X6ebf9e2aefc35cfa9889d153bdb6cb4b3de559f"/>
    <w:p>
      <w:pPr>
        <w:pStyle w:val="Heading1"/>
      </w:pPr>
      <w:r>
        <w:t xml:space="preserve">Case Study: Enhancing Eye Health Outcomes for the Urban Population in Australia Sydney</w:t>
      </w:r>
    </w:p>
    <w:bookmarkStart w:id="20" w:name="section"/>
    <w:p>
      <w:pPr>
        <w:pStyle w:val="Heading2"/>
      </w:pPr>
    </w:p>
    <w:p>
      <w:pPr>
        <w:pStyle w:val="FirstParagraph"/>
      </w:pPr>
      <w:r>
        <w:t xml:space="preserve">In the bustling metropolitan hub of</w:t>
      </w:r>
      <w:r>
        <w:t xml:space="preserve"> </w:t>
      </w:r>
      <w:r>
        <w:rPr>
          <w:bCs/>
          <w:b/>
        </w:rPr>
        <w:t xml:space="preserve">Australia Sydney</w:t>
      </w:r>
      <w:r>
        <w:t xml:space="preserve">, where lifestyle demands are high and urban stress levels are significant, access to comprehensive primary eye care is not merely a luxury but a public health necessity. This case study examines the operational challenges, strategic adaptations, and clinical outcomes of "VisionFirst Clinic," a progressive optometry practice located in the heart of Sydney CBD. The objective is to highlight how specialized</w:t>
      </w:r>
      <w:r>
        <w:t xml:space="preserve"> </w:t>
      </w:r>
      <w:r>
        <w:rPr>
          <w:bCs/>
          <w:b/>
        </w:rPr>
        <w:t xml:space="preserve">Optometrist</w:t>
      </w:r>
      <w:r>
        <w:t xml:space="preserve"> </w:t>
      </w:r>
      <w:r>
        <w:t xml:space="preserve">services can address the unique visual and systemic health needs of a diverse urban population.</w:t>
      </w:r>
    </w:p>
    <w:bookmarkEnd w:id="20"/>
    <w:bookmarkStart w:id="21" w:name="section-1"/>
    <w:p>
      <w:pPr>
        <w:pStyle w:val="Heading2"/>
      </w:pPr>
    </w:p>
    <w:p>
      <w:pPr>
        <w:pStyle w:val="FirstParagraph"/>
      </w:pPr>
      <w:r>
        <w:t xml:space="preserve">Sydney represents a microcosm of global health trends, with a rapidly aging demographic alongside an increasing prevalence of myopia among younger generations. The multicultural fabric of</w:t>
      </w:r>
      <w:r>
        <w:t xml:space="preserve"> </w:t>
      </w:r>
      <w:r>
        <w:rPr>
          <w:bCs/>
          <w:b/>
        </w:rPr>
        <w:t xml:space="preserve">Australia Sydney</w:t>
      </w:r>
      <w:r>
        <w:t xml:space="preserve"> </w:t>
      </w:r>
      <w:r>
        <w:t xml:space="preserve">introduces varying genetic predispositions to eye conditions such as glaucoma and age-related macular degeneration (AMD). Consequently, the role of the</w:t>
      </w:r>
      <w:r>
        <w:t xml:space="preserve"> </w:t>
      </w:r>
      <w:r>
        <w:rPr>
          <w:bCs/>
          <w:b/>
        </w:rPr>
        <w:t xml:space="preserve">Optometrist</w:t>
      </w:r>
      <w:r>
        <w:t xml:space="preserve"> </w:t>
      </w:r>
      <w:r>
        <w:t xml:space="preserve">in this region has expanded significantly beyond simple refraction for glasses and contact lenses. Modern optometric practices in Sydney are increasingly required to serve as gatekeepers for systemic health, detecting early signs of diabetes, hypertension, and autoimmune diseases through ocular manifestations.</w:t>
      </w:r>
    </w:p>
    <w:bookmarkEnd w:id="21"/>
    <w:bookmarkStart w:id="23" w:name="section-2"/>
    <w:p>
      <w:pPr>
        <w:pStyle w:val="Heading2"/>
      </w:pPr>
    </w:p>
    <w:bookmarkStart w:id="22" w:name="the-clinical-challenge"/>
    <w:p>
      <w:pPr>
        <w:pStyle w:val="Heading3"/>
      </w:pPr>
      <w:r>
        <w:t xml:space="preserve">The Clinical Challenge</w:t>
      </w:r>
    </w:p>
    <w:p>
      <w:pPr>
        <w:pStyle w:val="FirstParagraph"/>
      </w:pPr>
      <w:r>
        <w:t xml:space="preserve">VisionFirst Clinic faced a critical challenge in 2019: rising patient volumes coupled with a shortage of specialized diagnostic equipment for early disease detection. Patients were reporting increased screen time due to remote work trends post-pandemic, leading to a surge in complaints regarding Digital Eye Strain and Computer Vision Syndrome. Furthermore, the clinic noted that many patients from diverse backgrounds within</w:t>
      </w:r>
      <w:r>
        <w:t xml:space="preserve"> </w:t>
      </w:r>
      <w:r>
        <w:rPr>
          <w:bCs/>
          <w:b/>
        </w:rPr>
        <w:t xml:space="preserve">Australia Sydney</w:t>
      </w:r>
      <w:r>
        <w:t xml:space="preserve"> </w:t>
      </w:r>
      <w:r>
        <w:t xml:space="preserve">were seeking care only when symptoms became severe, indicating a gap in preventive education and accessible screening programs.</w:t>
      </w:r>
    </w:p>
    <w:p>
      <w:pPr>
        <w:pStyle w:val="BodyText"/>
      </w:pPr>
      <w:r>
        <w:t xml:space="preserve">The specific challenges identified included:</w:t>
      </w:r>
    </w:p>
    <w:p>
      <w:pPr>
        <w:numPr>
          <w:ilvl w:val="0"/>
          <w:numId w:val="1001"/>
        </w:numPr>
        <w:pStyle w:val="Compact"/>
      </w:pPr>
      <w:r>
        <w:rPr>
          <w:bCs/>
          <w:b/>
        </w:rPr>
        <w:t xml:space="preserve">High Prevalence of Myopia:</w:t>
      </w:r>
      <w:r>
        <w:t xml:space="preserve"> </w:t>
      </w:r>
      <w:r>
        <w:t xml:space="preserve">Urban living in Sydney is associated with higher rates of myopia progression among children and adolescents, necessitating advanced intervention strategies beyond standard correction.</w:t>
      </w:r>
    </w:p>
    <w:p>
      <w:pPr>
        <w:numPr>
          <w:ilvl w:val="0"/>
          <w:numId w:val="1001"/>
        </w:numPr>
        <w:pStyle w:val="Compact"/>
      </w:pPr>
      <w:r>
        <w:rPr>
          <w:bCs/>
          <w:b/>
        </w:rPr>
        <w:t xml:space="preserve">Digital Eye Strain:</w:t>
      </w:r>
      <w:r>
        <w:t xml:space="preserve"> </w:t>
      </w:r>
      <w:r>
        <w:t xml:space="preserve">A significant portion of the workforce in the Sydney CBD experienced fatigue and dry eye symptoms due to prolonged exposure to screens.</w:t>
      </w:r>
    </w:p>
    <w:p>
      <w:pPr>
        <w:numPr>
          <w:ilvl w:val="0"/>
          <w:numId w:val="1001"/>
        </w:numPr>
        <w:pStyle w:val="Compact"/>
      </w:pPr>
      <w:r>
        <w:rPr>
          <w:bCs/>
          <w:b/>
        </w:rPr>
        <w:t xml:space="preserve">Cultural Barriers to Care:</w:t>
      </w:r>
      <w:r>
        <w:t xml:space="preserve"> </w:t>
      </w:r>
      <w:r>
        <w:t xml:space="preserve">Limited English proficiency among some demographic groups hindered effective communication regarding complex eye health conditions, leading to lower compliance with treatment plans.</w:t>
      </w:r>
    </w:p>
    <w:bookmarkEnd w:id="22"/>
    <w:bookmarkEnd w:id="23"/>
    <w:bookmarkStart w:id="24" w:name="section-3"/>
    <w:p>
      <w:pPr>
        <w:pStyle w:val="Heading2"/>
      </w:pPr>
    </w:p>
    <w:p>
      <w:pPr>
        <w:pStyle w:val="FirstParagraph"/>
      </w:pPr>
      <w:r>
        <w:t xml:space="preserve">The strategic response involved a comprehensive overhaul of clinical protocols and patient engagement strategies. The core philosophy shifted from reactive treatment to proactive, holistic eye health management. This transformation required the integration of advanced diagnostic technology, interdisciplinary collaboration with local general practitioners (GPs), and community outreach programs tailored to the diverse population of</w:t>
      </w:r>
      <w:r>
        <w:t xml:space="preserve"> </w:t>
      </w:r>
      <w:r>
        <w:rPr>
          <w:bCs/>
          <w:b/>
        </w:rPr>
        <w:t xml:space="preserve">Australia Sydney</w:t>
      </w:r>
      <w:r>
        <w:t xml:space="preserve">.</w:t>
      </w:r>
    </w:p>
    <w:bookmarkEnd w:id="24"/>
    <w:bookmarkStart w:id="26" w:name="section-4"/>
    <w:p>
      <w:pPr>
        <w:pStyle w:val="Heading2"/>
      </w:pPr>
    </w:p>
    <w:bookmarkStart w:id="25" w:name="the-strategic-solution"/>
    <w:p>
      <w:pPr>
        <w:pStyle w:val="Heading3"/>
      </w:pPr>
      <w:r>
        <w:t xml:space="preserve">The Strategic Solution</w:t>
      </w:r>
    </w:p>
    <w:p>
      <w:pPr>
        <w:pStyle w:val="FirstParagraph"/>
      </w:pPr>
      <w:r>
        <w:t xml:space="preserve">VisionFirst Clinic implemented a three-pillar strategy centered on technology, education, and accessibility.</w:t>
      </w:r>
    </w:p>
    <w:p>
      <w:pPr>
        <w:numPr>
          <w:ilvl w:val="0"/>
          <w:numId w:val="1002"/>
        </w:numPr>
        <w:pStyle w:val="Compact"/>
      </w:pPr>
      <w:r>
        <w:rPr>
          <w:bCs/>
          <w:b/>
        </w:rPr>
        <w:t xml:space="preserve">Tech-Enabled Diagnostics:</w:t>
      </w:r>
    </w:p>
    <w:p>
      <w:pPr>
        <w:numPr>
          <w:ilvl w:val="0"/>
          <w:numId w:val="1000"/>
        </w:numPr>
        <w:pStyle w:val="Compact"/>
      </w:pPr>
      <w:r>
        <w:t xml:space="preserve">The clinic invested in Optical Coherence Tomography (OCT) and Wide-field Retinal Imaging. These tools allowed the</w:t>
      </w:r>
      <w:r>
        <w:t xml:space="preserve"> </w:t>
      </w:r>
      <w:r>
        <w:rPr>
          <w:bCs/>
          <w:b/>
        </w:rPr>
        <w:t xml:space="preserve">Optometrist</w:t>
      </w:r>
      <w:r>
        <w:t xml:space="preserve"> </w:t>
      </w:r>
      <w:r>
        <w:t xml:space="preserve">to capture high-resolution images of the retina and optic nerve, facilitating early detection of glaucoma, diabetic retinopathy, and AMD. By digitizing records and integrating them with local health networks in Sydney, data sharing became seamless.</w:t>
      </w:r>
    </w:p>
    <w:p>
      <w:pPr>
        <w:numPr>
          <w:ilvl w:val="0"/>
          <w:numId w:val="1002"/>
        </w:numPr>
        <w:pStyle w:val="Compact"/>
      </w:pPr>
      <w:r>
        <w:rPr>
          <w:bCs/>
          <w:b/>
        </w:rPr>
        <w:t xml:space="preserve">Multidisciplinary Partnerships:</w:t>
      </w:r>
    </w:p>
    <w:p>
      <w:pPr>
        <w:numPr>
          <w:ilvl w:val="0"/>
          <w:numId w:val="1000"/>
        </w:numPr>
        <w:pStyle w:val="Compact"/>
      </w:pPr>
      <w:r>
        <w:t xml:space="preserve">Recognizing that eye health is linked to overall systemic health, VisionFirst established referral pathways with endocrinologists for diabetic patients and cardiologists for those showing signs of vascular issues through their eyes. This collaborative model ensured that patients in</w:t>
      </w:r>
      <w:r>
        <w:t xml:space="preserve"> </w:t>
      </w:r>
      <w:r>
        <w:rPr>
          <w:bCs/>
          <w:b/>
        </w:rPr>
        <w:t xml:space="preserve">Australia Sydney</w:t>
      </w:r>
      <w:r>
        <w:t xml:space="preserve"> </w:t>
      </w:r>
      <w:r>
        <w:t xml:space="preserve">received coordinated care without the need for multiple disjointed visits.</w:t>
      </w:r>
    </w:p>
    <w:p>
      <w:pPr>
        <w:numPr>
          <w:ilvl w:val="0"/>
          <w:numId w:val="1002"/>
        </w:numPr>
        <w:pStyle w:val="Compact"/>
      </w:pPr>
      <w:r>
        <w:rPr>
          <w:bCs/>
          <w:b/>
        </w:rPr>
        <w:t xml:space="preserve">Culturally Competent Communication:</w:t>
      </w:r>
    </w:p>
    <w:p>
      <w:pPr>
        <w:numPr>
          <w:ilvl w:val="0"/>
          <w:numId w:val="1000"/>
        </w:numPr>
        <w:pStyle w:val="Compact"/>
      </w:pPr>
      <w:r>
        <w:t xml:space="preserve">To address the linguistic diversity of Sydney, the clinic introduced an interpretation service and developed educational materials in multiple languages. Regular community workshops were held in local libraries and community centers across Sydney neighborhoods, focusing on preventive eye care for children with myopia and elderly residents at risk of blindness.</w:t>
      </w:r>
    </w:p>
    <w:bookmarkEnd w:id="25"/>
    <w:bookmarkEnd w:id="26"/>
    <w:bookmarkStart w:id="28" w:name="section-5"/>
    <w:p>
      <w:pPr>
        <w:pStyle w:val="Heading2"/>
      </w:pPr>
    </w:p>
    <w:p>
      <w:pPr>
        <w:pStyle w:val="FirstParagraph"/>
      </w:pPr>
      <w:r>
        <w:t xml:space="preserve">A critical component of this strategy was the implementation of a "Screen Health" program. Acknowledging the sedentary lifestyle common in Sydney's corporate sector, optometrists provided targeted advice on 20-20-20 rules (looking at something 20 feet away for 20 seconds every 2 minutes), blue light filtering lenses, and artificial tears. This proactive approach not only alleviated patient symptoms but also positioned the</w:t>
      </w:r>
      <w:r>
        <w:t xml:space="preserve"> </w:t>
      </w:r>
      <w:r>
        <w:rPr>
          <w:bCs/>
          <w:b/>
        </w:rPr>
        <w:t xml:space="preserve">Optometrist</w:t>
      </w:r>
      <w:r>
        <w:t xml:space="preserve"> </w:t>
      </w:r>
      <w:r>
        <w:t xml:space="preserve">as a partner in workplace wellness.</w:t>
      </w:r>
    </w:p>
    <w:bookmarkStart w:id="27" w:name="section-6"/>
    <w:p>
      <w:pPr>
        <w:pStyle w:val="Heading3"/>
      </w:pPr>
    </w:p>
    <w:p>
      <w:pPr>
        <w:pStyle w:val="FirstParagraph"/>
      </w:pPr>
      <w:r>
        <w:t xml:space="preserve">The results of these interventions were measurable and significant over a twenty-four-month period. Key performance indicators demonstrated improved health outcomes and higher patient satisfaction scores.</w:t>
      </w:r>
    </w:p>
    <w:bookmarkEnd w:id="27"/>
    <w:p>
      <w:pPr>
        <w:numPr>
          <w:ilvl w:val="0"/>
          <w:numId w:val="1003"/>
        </w:numPr>
        <w:pStyle w:val="Compact"/>
      </w:pPr>
      <w:r>
        <w:rPr>
          <w:bCs/>
          <w:b/>
        </w:rPr>
        <w:t xml:space="preserve">Early Disease Detection:</w:t>
      </w:r>
    </w:p>
    <w:p>
      <w:pPr>
        <w:numPr>
          <w:ilvl w:val="0"/>
          <w:numId w:val="1000"/>
        </w:numPr>
        <w:pStyle w:val="Compact"/>
      </w:pPr>
      <w:r>
        <w:t xml:space="preserve">There was a 40% increase in the early detection of diabetic retinopathy among patients referred by partner GPs. Early intervention prevented progression to sight-threatening stages in 85% of identified cases.</w:t>
      </w:r>
    </w:p>
    <w:p>
      <w:pPr>
        <w:numPr>
          <w:ilvl w:val="0"/>
          <w:numId w:val="1003"/>
        </w:numPr>
        <w:pStyle w:val="Compact"/>
      </w:pPr>
      <w:r>
        <w:rPr>
          <w:bCs/>
          <w:b/>
        </w:rPr>
        <w:t xml:space="preserve">Myopia Control Success:</w:t>
      </w:r>
    </w:p>
    <w:p>
      <w:pPr>
        <w:numPr>
          <w:ilvl w:val="0"/>
          <w:numId w:val="1000"/>
        </w:numPr>
        <w:pStyle w:val="Compact"/>
      </w:pPr>
      <w:r>
        <w:t xml:space="preserve">Children enrolled in the myopia management program showed a 30% reduction in axial elongation compared to those receiving standard correction, effectively slowing the progression of nearsightedness.</w:t>
      </w:r>
    </w:p>
    <w:p>
      <w:pPr>
        <w:numPr>
          <w:ilvl w:val="0"/>
          <w:numId w:val="1003"/>
        </w:numPr>
        <w:pStyle w:val="Compact"/>
      </w:pPr>
      <w:r>
        <w:rPr>
          <w:bCs/>
          <w:b/>
        </w:rPr>
        <w:t xml:space="preserve">Patient Retention and Satisfaction:</w:t>
      </w:r>
    </w:p>
    <w:p>
      <w:pPr>
        <w:numPr>
          <w:ilvl w:val="0"/>
          <w:numId w:val="1000"/>
        </w:numPr>
        <w:pStyle w:val="Compact"/>
      </w:pPr>
      <w:r>
        <w:t xml:space="preserve">Patient retention rates increased by 25%. Surveys indicated that patients appreciated the holistic approach, valuing the</w:t>
      </w:r>
      <w:r>
        <w:t xml:space="preserve"> </w:t>
      </w:r>
      <w:r>
        <w:rPr>
          <w:bCs/>
          <w:b/>
        </w:rPr>
        <w:t xml:space="preserve">Optometrist</w:t>
      </w:r>
      <w:r>
        <w:t xml:space="preserve">'s ability to discuss systemic health risks alongside visual acuity. The multilingual resources were particularly praised for making care more inclusive within the diverse communities of</w:t>
      </w:r>
      <w:r>
        <w:t xml:space="preserve"> </w:t>
      </w:r>
      <w:r>
        <w:rPr>
          <w:bCs/>
          <w:b/>
        </w:rPr>
        <w:t xml:space="preserve">Australia Sydney</w:t>
      </w:r>
      <w:r>
        <w:t xml:space="preserve">.</w:t>
      </w:r>
    </w:p>
    <w:p>
      <w:pPr>
        <w:numPr>
          <w:ilvl w:val="0"/>
          <w:numId w:val="1003"/>
        </w:numPr>
        <w:pStyle w:val="Compact"/>
      </w:pPr>
      <w:r>
        <w:rPr>
          <w:bCs/>
          <w:b/>
        </w:rPr>
        <w:t xml:space="preserve">Economic Efficiency:</w:t>
      </w:r>
    </w:p>
    <w:p>
      <w:pPr>
        <w:numPr>
          <w:ilvl w:val="0"/>
          <w:numId w:val="1000"/>
        </w:numPr>
        <w:pStyle w:val="Compact"/>
      </w:pPr>
      <w:r>
        <w:t xml:space="preserve">By reducing emergency visits for acute eye conditions through better management of chronic diseases, the clinic reported a 15% decrease in unscheduled appointments, allowing for better resource allocation.</w:t>
      </w:r>
    </w:p>
    <w:bookmarkEnd w:id="28"/>
    <w:bookmarkStart w:id="30" w:name="section-7"/>
    <w:p>
      <w:pPr>
        <w:pStyle w:val="Heading2"/>
      </w:pPr>
    </w:p>
    <w:p>
      <w:pPr>
        <w:pStyle w:val="FirstParagraph"/>
      </w:pPr>
      <w:r>
        <w:t xml:space="preserve">This case study underscores the evolving role of the</w:t>
      </w:r>
      <w:r>
        <w:t xml:space="preserve"> </w:t>
      </w:r>
      <w:r>
        <w:rPr>
          <w:bCs/>
          <w:b/>
        </w:rPr>
        <w:t xml:space="preserve">Optometrist</w:t>
      </w:r>
      <w:r>
        <w:t xml:space="preserve"> </w:t>
      </w:r>
      <w:r>
        <w:t xml:space="preserve">in modern healthcare systems. In a city like</w:t>
      </w:r>
      <w:r>
        <w:t xml:space="preserve"> </w:t>
      </w:r>
      <w:r>
        <w:rPr>
          <w:bCs/>
          <w:b/>
        </w:rPr>
        <w:t xml:space="preserve">Australia Sydney</w:t>
      </w:r>
      <w:r>
        <w:t xml:space="preserve">, characterized by its fast-paced urban environment and demographic diversity, optometry cannot remain static. It must adapt to address both visual and systemic health challenges through technology, collaboration, and inclusive communication.</w:t>
      </w:r>
    </w:p>
    <w:bookmarkStart w:id="29" w:name="section-8"/>
    <w:p>
      <w:pPr>
        <w:pStyle w:val="Heading2"/>
      </w:pPr>
    </w:p>
    <w:p>
      <w:pPr>
        <w:pStyle w:val="FirstParagraph"/>
      </w:pPr>
      <w:r>
        <w:t xml:space="preserve">The success of VisionFirst Clinic serves as a blueprint for other practices. It demonstrates that when</w:t>
      </w:r>
      <w:r>
        <w:t xml:space="preserve"> </w:t>
      </w:r>
      <w:r>
        <w:rPr>
          <w:bCs/>
          <w:b/>
        </w:rPr>
        <w:t xml:space="preserve">Optometrist</w:t>
      </w:r>
      <w:r>
        <w:t xml:space="preserve"> </w:t>
      </w:r>
      <w:r>
        <w:t xml:space="preserve">services are integrated into the broader health landscape of</w:t>
      </w:r>
      <w:r>
        <w:t xml:space="preserve"> </w:t>
      </w:r>
      <w:r>
        <w:rPr>
          <w:bCs/>
          <w:b/>
        </w:rPr>
        <w:t xml:space="preserve">Australia Sydney</w:t>
      </w:r>
      <w:r>
        <w:t xml:space="preserve">, they can significantly improve public health outcomes, enhance patient quality of life, and ensure that eye care is accessible to all residents regardless of their background or socioeconomic status. Future endeavors should continue to leverage digital health innovations and community partnerships to maintain this trajectory of excellence in eye care provision.</w:t>
      </w:r>
    </w:p>
    <w:bookmarkEnd w:id="29"/>
    <w:bookmarkEnd w:id="30"/>
    <w:bookmarkStart w:id="31" w:name="section-9"/>
    <w:p>
      <w:pPr>
        <w:pStyle w:val="Heading2"/>
      </w:pP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Australia Sydney</dc:title>
  <dc:creator/>
  <dc:language>en</dc:language>
  <cp:keywords/>
  <dcterms:created xsi:type="dcterms:W3CDTF">2026-07-29T07:09:55Z</dcterms:created>
  <dcterms:modified xsi:type="dcterms:W3CDTF">2026-07-29T07:09:55Z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