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Optometry</w:t>
      </w:r>
      <w:r>
        <w:t xml:space="preserve"> </w:t>
      </w:r>
      <w:r>
        <w:t xml:space="preserve">Practice</w:t>
      </w:r>
      <w:r>
        <w:t xml:space="preserve"> </w:t>
      </w:r>
      <w:r>
        <w:t xml:space="preserve">in</w:t>
      </w:r>
      <w:r>
        <w:t xml:space="preserve"> </w:t>
      </w:r>
      <w:r>
        <w:t xml:space="preserve">France,</w:t>
      </w:r>
      <w:r>
        <w:t xml:space="preserve"> </w:t>
      </w:r>
      <w:r>
        <w:t xml:space="preserve">Paris</w:t>
      </w:r>
    </w:p>
    <w:bookmarkStart w:id="27" w:name="X9ee5624c8cf1211e0ec53c4d419de1d3f864702"/>
    <w:p>
      <w:pPr>
        <w:pStyle w:val="Heading1"/>
      </w:pPr>
      <w:r>
        <w:t xml:space="preserve">Case Study: Establishing a Premium Optometry Practice in France, Paris</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regulatory, economic, and operational landscape for an</w:t>
      </w:r>
      <w:r>
        <w:t xml:space="preserve"> </w:t>
      </w:r>
      <w:r>
        <w:rPr>
          <w:bCs/>
          <w:b/>
        </w:rPr>
        <w:t xml:space="preserve">Optometrist</w:t>
      </w:r>
      <w:r>
        <w:t xml:space="preserve"> </w:t>
      </w:r>
      <w:r>
        <w:t xml:space="preserve">establishing a private practice in</w:t>
      </w:r>
      <w:r>
        <w:t xml:space="preserve"> </w:t>
      </w:r>
      <w:r>
        <w:rPr>
          <w:bCs/>
          <w:b/>
        </w:rPr>
        <w:t xml:space="preserve">France Paris</w:t>
      </w:r>
      <w:r>
        <w:t xml:space="preserve">.</w:t>
      </w:r>
    </w:p>
    <w:bookmarkStart w:id="20" w:name="introduction"/>
    <w:p>
      <w:pPr>
        <w:pStyle w:val="Heading2"/>
      </w:pPr>
      <w:r>
        <w:t xml:space="preserve">1. Introduction and Context</w:t>
      </w:r>
    </w:p>
    <w:p>
      <w:pPr>
        <w:pStyle w:val="FirstParagraph"/>
      </w:pPr>
      <w:r>
        <w:t xml:space="preserve">The capital of France,</w:t>
      </w:r>
      <w:r>
        <w:t xml:space="preserve"> </w:t>
      </w:r>
      <w:r>
        <w:rPr>
          <w:bCs/>
          <w:b/>
        </w:rPr>
        <w:t xml:space="preserve">Paris</w:t>
      </w:r>
      <w:r>
        <w:t xml:space="preserve">, represents one of the most dynamic and competitive markets for healthcare services in Europe. Within this bustling metropolis, the demand for high-quality eye care is driven by a diverse population ranging from affluent locals to international tourists and business professionals. This case study examines the strategic challenges and opportunities faced when establishing a specialized</w:t>
      </w:r>
      <w:r>
        <w:t xml:space="preserve"> </w:t>
      </w:r>
      <w:r>
        <w:rPr>
          <w:bCs/>
          <w:b/>
        </w:rPr>
        <w:t xml:space="preserve">Optometrist</w:t>
      </w:r>
      <w:r>
        <w:t xml:space="preserve"> </w:t>
      </w:r>
      <w:r>
        <w:t xml:space="preserve">practice in this prestigious location.</w:t>
      </w:r>
    </w:p>
    <w:p>
      <w:pPr>
        <w:pStyle w:val="BodyText"/>
      </w:pPr>
      <w:r>
        <w:t xml:space="preserve">The objective of this study is to provide a detailed roadmap for navigating the unique intersection of French healthcare regulations, Parisian real estate dynamics, and modern consumer expectations. Success in</w:t>
      </w:r>
      <w:r>
        <w:t xml:space="preserve"> </w:t>
      </w:r>
      <w:r>
        <w:rPr>
          <w:bCs/>
          <w:b/>
        </w:rPr>
        <w:t xml:space="preserve">France Paris</w:t>
      </w:r>
      <w:r>
        <w:t xml:space="preserve"> </w:t>
      </w:r>
      <w:r>
        <w:t xml:space="preserve">requires more than just clinical expertise; it demands a nuanced understanding of the local ecosystem where tradition meets innovation.</w:t>
      </w:r>
    </w:p>
    <w:bookmarkEnd w:id="20"/>
    <w:bookmarkStart w:id="21" w:name="market-analysis"/>
    <w:p>
      <w:pPr>
        <w:pStyle w:val="Heading2"/>
      </w:pPr>
      <w:r>
        <w:t xml:space="preserve">2. Market Analysis: The Parisian Landscape</w:t>
      </w:r>
    </w:p>
    <w:p>
      <w:pPr>
        <w:pStyle w:val="FirstParagraph"/>
      </w:pPr>
      <w:r>
        <w:rPr>
          <w:bCs/>
          <w:b/>
        </w:rPr>
        <w:t xml:space="preserve">The Demand for Optometrist Services:</w:t>
      </w:r>
    </w:p>
    <w:p>
      <w:pPr>
        <w:pStyle w:val="BodyText"/>
      </w:pPr>
      <w:r>
        <w:t xml:space="preserve">In</w:t>
      </w:r>
      <w:r>
        <w:t xml:space="preserve"> </w:t>
      </w:r>
      <w:r>
        <w:rPr>
          <w:bCs/>
          <w:b/>
        </w:rPr>
        <w:t xml:space="preserve">France Paris</w:t>
      </w:r>
      <w:r>
        <w:t xml:space="preserve">, the market for optometry is robust. Eye care is considered a fundamental health necessity, yet it is also increasingly viewed as a lifestyle enhancement. With high rates of digital device usage among Parisians, myopia and digital eye strain are prevalent issues requiring professional intervention. Furthermore, the aging population in districts such as the 16th and 7th arrondissements creates a steady demand for age-related vision care.</w:t>
      </w:r>
    </w:p>
    <w:p>
      <w:pPr>
        <w:pStyle w:val="BodyText"/>
      </w:pPr>
      <w:r>
        <w:rPr>
          <w:bCs/>
          <w:b/>
        </w:rPr>
        <w:t xml:space="preserve">Competitive Environment:</w:t>
      </w:r>
    </w:p>
    <w:p>
      <w:pPr>
        <w:pStyle w:val="BodyText"/>
      </w:pPr>
      <w:r>
        <w:t xml:space="preserve">The city is saturated with optical shops and clinics. However, there is a distinct gap in the market for "boutique" optometry. Traditional retail chains dominate the lower-to-mid-end market with volume-based sales strategies. Conversely, a specialized</w:t>
      </w:r>
      <w:r>
        <w:t xml:space="preserve"> </w:t>
      </w:r>
      <w:r>
        <w:rPr>
          <w:bCs/>
          <w:b/>
        </w:rPr>
        <w:t xml:space="preserve">Optometrist</w:t>
      </w:r>
      <w:r>
        <w:t xml:space="preserve"> </w:t>
      </w:r>
      <w:r>
        <w:t xml:space="preserve">offering comprehensive diagnostic services, personalized fittings, and advanced contact lens technology can carve out a lucrative niche. The competition is fierce, particularly in central</w:t>
      </w:r>
      <w:r>
        <w:t xml:space="preserve"> </w:t>
      </w:r>
      <w:r>
        <w:rPr>
          <w:bCs/>
          <w:b/>
        </w:rPr>
        <w:t xml:space="preserve">France Paris</w:t>
      </w:r>
      <w:r>
        <w:t xml:space="preserve">, where foot traffic is high but rent costs are prohibitive for non-premium brands.</w:t>
      </w:r>
    </w:p>
    <w:bookmarkEnd w:id="21"/>
    <w:bookmarkStart w:id="22" w:name="regulatory-framework"/>
    <w:p>
      <w:pPr>
        <w:pStyle w:val="Heading2"/>
      </w:pPr>
      <w:r>
        <w:t xml:space="preserve">3. Regulatory Framework in France</w:t>
      </w:r>
    </w:p>
    <w:p>
      <w:pPr>
        <w:pStyle w:val="FirstParagraph"/>
      </w:pPr>
      <w:r>
        <w:t xml:space="preserve">Navigating the legal landscape is the most critical aspect of this case study. In France, the role of an</w:t>
      </w:r>
      <w:r>
        <w:t xml:space="preserve"> </w:t>
      </w:r>
      <w:r>
        <w:rPr>
          <w:bCs/>
          <w:b/>
        </w:rPr>
        <w:t xml:space="preserve">Optometrist</w:t>
      </w:r>
      <w:r>
        <w:t xml:space="preserve"> </w:t>
      </w:r>
      <w:r>
        <w:t xml:space="preserve">(often referred to as *Opticien-Lunetier* when selling frames) is strictly defined by law.</w:t>
      </w:r>
    </w:p>
    <w:p>
      <w:pPr>
        <w:numPr>
          <w:ilvl w:val="0"/>
          <w:numId w:val="1001"/>
        </w:numPr>
        <w:pStyle w:val="Compact"/>
      </w:pPr>
      <w:r>
        <w:rPr>
          <w:bCs/>
          <w:b/>
        </w:rPr>
        <w:t xml:space="preserve">Licensing and Qualifications:</w:t>
      </w:r>
      <w:r>
        <w:t xml:space="preserve">To operate legally, practitioners must hold a specific French diploma recognized by the Ministry of Health. International qualifications often require extensive equivalency exams. This barrier to entry ensures high standards but complicates recruitment for foreign-trained</w:t>
      </w:r>
      <w:r>
        <w:t xml:space="preserve"> </w:t>
      </w:r>
      <w:r>
        <w:rPr>
          <w:bCs/>
          <w:b/>
        </w:rPr>
        <w:t xml:space="preserve">Optometrist</w:t>
      </w:r>
      <w:r>
        <w:t xml:space="preserve"> </w:t>
      </w:r>
      <w:r>
        <w:t xml:space="preserve">professionals.</w:t>
      </w:r>
    </w:p>
    <w:p>
      <w:pPr>
        <w:numPr>
          <w:ilvl w:val="0"/>
          <w:numId w:val="1001"/>
        </w:numPr>
        <w:pStyle w:val="Compact"/>
      </w:pPr>
      <w:r>
        <w:rPr>
          <w:bCs/>
          <w:b/>
        </w:rPr>
        <w:t xml:space="preserve">Scope of Practice:</w:t>
      </w:r>
      <w:r>
        <w:t xml:space="preserve">In</w:t>
      </w:r>
      <w:r>
        <w:t xml:space="preserve"> </w:t>
      </w:r>
      <w:r>
        <w:rPr>
          <w:bCs/>
          <w:b/>
        </w:rPr>
        <w:t xml:space="preserve">France Paris</w:t>
      </w:r>
      <w:r>
        <w:t xml:space="preserve">, opticians are generally not permitted to perform certain medical procedures reserved for ophthalmologists (medical doctors). However, recent legislative changes have expanded the scope of non-medical practitioners. An</w:t>
      </w:r>
      <w:r>
        <w:t xml:space="preserve"> </w:t>
      </w:r>
      <w:r>
        <w:rPr>
          <w:bCs/>
          <w:b/>
        </w:rPr>
        <w:t xml:space="preserve">Optometrist</w:t>
      </w:r>
      <w:r>
        <w:t xml:space="preserve"> </w:t>
      </w:r>
      <w:r>
        <w:t xml:space="preserve">in this region can now conduct comprehensive eye exams, prescribe glasses and contact lenses, and manage minor ocular surface conditions without a direct physician referral.</w:t>
      </w:r>
    </w:p>
    <w:p>
      <w:pPr>
        <w:numPr>
          <w:ilvl w:val="0"/>
          <w:numId w:val="1001"/>
        </w:numPr>
        <w:pStyle w:val="Compact"/>
      </w:pPr>
      <w:r>
        <w:rPr>
          <w:bCs/>
          <w:b/>
        </w:rPr>
        <w:t xml:space="preserve">Social Security Integration:</w:t>
      </w:r>
      <w:r>
        <w:t xml:space="preserve">A crucial strategic decision involves whether to join the "Secteur 1" of the French Social Security system. In</w:t>
      </w:r>
      <w:r>
        <w:t xml:space="preserve"> </w:t>
      </w:r>
      <w:r>
        <w:rPr>
          <w:bCs/>
          <w:b/>
        </w:rPr>
        <w:t xml:space="preserve">France Paris</w:t>
      </w:r>
      <w:r>
        <w:t xml:space="preserve">, this allows patients to be reimbursed quickly by their mutual insurance (supplemental health insurance), which is nearly ubiquitous. Non-participation can significantly reduce customer volume, as Parisians rely heavily on these reimbursements.</w:t>
      </w:r>
    </w:p>
    <w:bookmarkEnd w:id="22"/>
    <w:bookmarkStart w:id="23" w:name="location-and-real-estate"/>
    <w:p>
      <w:pPr>
        <w:pStyle w:val="Heading2"/>
      </w:pPr>
      <w:r>
        <w:t xml:space="preserve">4. Location Strategy in France Paris</w:t>
      </w:r>
    </w:p>
    <w:p>
      <w:pPr>
        <w:pStyle w:val="FirstParagraph"/>
      </w:pPr>
      <w:r>
        <w:t xml:space="preserve">The choice of location in</w:t>
      </w:r>
      <w:r>
        <w:t xml:space="preserve"> </w:t>
      </w:r>
      <w:r>
        <w:rPr>
          <w:bCs/>
          <w:b/>
        </w:rPr>
        <w:t xml:space="preserve">France Paris</w:t>
      </w:r>
      <w:r>
        <w:t xml:space="preserve"> </w:t>
      </w:r>
      <w:r>
        <w:t xml:space="preserve">dictates the brand identity and potential revenue of the practice.</w:t>
      </w:r>
    </w:p>
    <w:p>
      <w:pPr>
        <w:numPr>
          <w:ilvl w:val="0"/>
          <w:numId w:val="1002"/>
        </w:numPr>
        <w:pStyle w:val="Compact"/>
      </w:pPr>
      <w:r>
        <w:rPr>
          <w:bCs/>
          <w:b/>
        </w:rPr>
        <w:t xml:space="preserve">The 8th and 16th Arrondissements:</w:t>
      </w:r>
    </w:p>
    <w:p>
      <w:pPr>
        <w:numPr>
          <w:ilvl w:val="0"/>
          <w:numId w:val="1002"/>
        </w:numPr>
        <w:pStyle w:val="Compact"/>
      </w:pPr>
      <w:r>
        <w:rPr>
          <w:bCs/>
          <w:b/>
        </w:rPr>
        <w:t xml:space="preserve">The Le Marais (4th Arrondissement):</w:t>
      </w:r>
    </w:p>
    <w:p>
      <w:pPr>
        <w:numPr>
          <w:ilvl w:val="0"/>
          <w:numId w:val="1002"/>
        </w:numPr>
        <w:pStyle w:val="Compact"/>
      </w:pPr>
      <w:r>
        <w:rPr>
          <w:bCs/>
          <w:b/>
        </w:rPr>
        <w:t xml:space="preserve">The 13th Arrondissement:</w:t>
      </w:r>
    </w:p>
    <w:bookmarkEnd w:id="23"/>
    <w:bookmarkStart w:id="24" w:name="operational-challenges"/>
    <w:p>
      <w:pPr>
        <w:pStyle w:val="Heading2"/>
      </w:pPr>
      <w:r>
        <w:t xml:space="preserve">5. Operational Challenges</w:t>
      </w:r>
    </w:p>
    <w:p>
      <w:pPr>
        <w:pStyle w:val="FirstParagraph"/>
      </w:pPr>
      <w:r>
        <w:rPr>
          <w:bCs/>
          <w:b/>
        </w:rPr>
        <w:t xml:space="preserve">Labor Laws:</w:t>
      </w:r>
    </w:p>
    <w:p>
      <w:pPr>
        <w:pStyle w:val="BodyText"/>
      </w:pPr>
      <w:r>
        <w:t xml:space="preserve">Hiring staff in</w:t>
      </w:r>
      <w:r>
        <w:t xml:space="preserve"> </w:t>
      </w:r>
      <w:r>
        <w:rPr>
          <w:bCs/>
          <w:b/>
        </w:rPr>
        <w:t xml:space="preserve">France ParisOptometrist</w:t>
      </w:r>
      <w:r>
        <w:t xml:space="preserve"> </w:t>
      </w:r>
      <w:r>
        <w:t xml:space="preserve">cannot simply hire a sales assistant; one must comply with collective bargaining agreements specific to the optical industry. Break times, overtime, and dismissal procedures are heavily regulated. Failure to comply can result in significant fines.</w:t>
      </w:r>
    </w:p>
    <w:p>
      <w:pPr>
        <w:pStyle w:val="BodyText"/>
      </w:pPr>
      <w:r>
        <w:rPr>
          <w:bCs/>
          <w:b/>
        </w:rPr>
        <w:t xml:space="preserve">Digital Transformation:</w:t>
      </w:r>
    </w:p>
    <w:p>
      <w:pPr>
        <w:pStyle w:val="BodyText"/>
      </w:pPr>
      <w:r>
        <w:t xml:space="preserve">The Parisian consumer is digitally savvy. An</w:t>
      </w:r>
      <w:r>
        <w:t xml:space="preserve"> </w:t>
      </w:r>
      <w:r>
        <w:rPr>
          <w:bCs/>
          <w:b/>
        </w:rPr>
        <w:t xml:space="preserve">Optometrist</w:t>
      </w:r>
      <w:r>
        <w:t xml:space="preserve"> </w:t>
      </w:r>
      <w:r>
        <w:t xml:space="preserve">in</w:t>
      </w:r>
      <w:r>
        <w:t xml:space="preserve"> </w:t>
      </w:r>
      <w:r>
        <w:rPr>
          <w:bCs/>
          <w:b/>
        </w:rPr>
        <w:t xml:space="preserve">France Paris</w:t>
      </w:r>
    </w:p>
    <w:bookmarkEnd w:id="24"/>
    <w:bookmarkStart w:id="25" w:name="financial-projections"/>
    <w:p>
      <w:pPr>
        <w:pStyle w:val="Heading2"/>
      </w:pPr>
      <w:r>
        <w:t xml:space="preserve">6. Financial Projections and Sustainability</w:t>
      </w:r>
    </w:p>
    <w:p>
      <w:pPr>
        <w:pStyle w:val="FirstParagraph"/>
      </w:pPr>
      <w:r>
        <w:t xml:space="preserve">The initial investment for setting up an</w:t>
      </w:r>
      <w:r>
        <w:t xml:space="preserve"> </w:t>
      </w:r>
      <w:r>
        <w:rPr>
          <w:bCs/>
          <w:b/>
        </w:rPr>
        <w:t xml:space="preserve">Optometrist</w:t>
      </w:r>
      <w:r>
        <w:t xml:space="preserve"> </w:t>
      </w:r>
      <w:r>
        <w:t xml:space="preserve">practice in</w:t>
      </w:r>
      <w:r>
        <w:t xml:space="preserve"> </w:t>
      </w:r>
      <w:r>
        <w:rPr>
          <w:bCs/>
          <w:b/>
        </w:rPr>
        <w:t xml:space="preserve">France Paris</w:t>
      </w:r>
    </w:p>
    <w:p>
      <w:pPr>
        <w:numPr>
          <w:ilvl w:val="0"/>
          <w:numId w:val="1003"/>
        </w:numPr>
        <w:pStyle w:val="Compact"/>
      </w:pPr>
      <w:r>
        <w:rPr>
          <w:bCs/>
          <w:b/>
        </w:rPr>
        <w:t xml:space="preserve">Rental Deposit and Agency Fees:</w:t>
      </w:r>
    </w:p>
    <w:p>
      <w:pPr>
        <w:numPr>
          <w:ilvl w:val="0"/>
          <w:numId w:val="1003"/>
        </w:numPr>
        <w:pStyle w:val="Compact"/>
      </w:pPr>
      <w:r>
        <w:rPr>
          <w:bCs/>
          <w:b/>
        </w:rPr>
        <w:t xml:space="preserve">Licensing and Legal Fees:</w:t>
      </w:r>
    </w:p>
    <w:p>
      <w:pPr>
        <w:numPr>
          <w:ilvl w:val="0"/>
          <w:numId w:val="1003"/>
        </w:numPr>
        <w:pStyle w:val="Compact"/>
      </w:pPr>
      <w:r>
        <w:t xml:space="preserve">Clinical Equipment (Slit lamps, autorefractors):</w:t>
      </w:r>
    </w:p>
    <w:p>
      <w:pPr>
        <w:numPr>
          <w:ilvl w:val="0"/>
          <w:numId w:val="1003"/>
        </w:numPr>
        <w:pStyle w:val="Compact"/>
      </w:pPr>
      <w:r>
        <w:t xml:space="preserve">Marketing and Branding.</w:t>
      </w:r>
    </w:p>
    <w:p>
      <w:pPr>
        <w:pStyle w:val="FirstParagraph"/>
      </w:pPr>
      <w:r>
        <w:t xml:space="preserve">Sustainability in the first two years relies on capturing a loyal local clientele. Average ticket prices in</w:t>
      </w:r>
      <w:r>
        <w:t xml:space="preserve"> </w:t>
      </w:r>
      <w:r>
        <w:rPr>
          <w:bCs/>
          <w:b/>
        </w:rPr>
        <w:t xml:space="preserve">France Paris</w:t>
      </w:r>
    </w:p>
    <w:bookmarkEnd w:id="25"/>
    <w:bookmarkStart w:id="26" w:name="conclusion"/>
    <w:p>
      <w:pPr>
        <w:pStyle w:val="Heading2"/>
      </w:pPr>
      <w:r>
        <w:t xml:space="preserve">7. Conclusion</w:t>
      </w:r>
    </w:p>
    <w:p>
      <w:pPr>
        <w:pStyle w:val="FirstParagraph"/>
      </w:pPr>
      <w:r>
        <w:t xml:space="preserve">This case study highlights that establishing an</w:t>
      </w:r>
    </w:p>
    <w:p>
      <w:pPr>
        <w:pStyle w:val="BodyText"/>
      </w:pPr>
      <w:r>
        <w:t xml:space="preserve">The key to success lies in differentiation. By offering superior clinical expertise, adhering strictly to French labor and health regulations, and selecting a location that aligns with target demographics within , an</w:t>
      </w:r>
    </w:p>
    <w:p>
      <w:pPr>
        <w:pStyle w:val="BodyText"/>
      </w:pPr>
      <w:r>
        <w:t xml:space="preserve">Disclaimer: This document is for informational purposes only and does not constitute legal or financial advice. Professionals should consult with local experts 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Optometry Practice in France, Paris</dc:title>
  <dc:creator/>
  <dc:language>en</dc:language>
  <cp:keywords/>
  <dcterms:created xsi:type="dcterms:W3CDTF">2026-07-29T08:32:03Z</dcterms:created>
  <dcterms:modified xsi:type="dcterms:W3CDTF">2026-07-29T08:32:03Z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