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Optometric</w:t>
      </w:r>
      <w:r>
        <w:t xml:space="preserve"> </w:t>
      </w:r>
      <w:r>
        <w:t xml:space="preserve">Care</w:t>
      </w:r>
      <w:r>
        <w:t xml:space="preserve"> </w:t>
      </w:r>
      <w:r>
        <w:t xml:space="preserve">in</w:t>
      </w:r>
      <w:r>
        <w:t xml:space="preserve"> </w:t>
      </w:r>
      <w:r>
        <w:t xml:space="preserve">Germany</w:t>
      </w:r>
      <w:r>
        <w:t xml:space="preserve"> </w:t>
      </w:r>
      <w:r>
        <w:t xml:space="preserve">Munich</w:t>
      </w:r>
    </w:p>
    <w:bookmarkStart w:id="32" w:name="X1fa4972a064e4173cc2a7be50514431c7dff337"/>
    <w:p>
      <w:pPr>
        <w:pStyle w:val="Heading1"/>
      </w:pPr>
      <w:r>
        <w:t xml:space="preserve">Case Study: Enhancing Patient-Centered Optometric Practice in Germany Munich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Analyzed Subject:</w:t>
      </w:r>
      <w:r>
        <w:t xml:space="preserve">The Integration of Advanced Diagnostic Technology and Holistic Patient Care within the Highly Regulated Healthcare Market of Germany Munich</w:t>
      </w:r>
    </w:p>
    <w:bookmarkStart w:id="20" w:name="executive-summary"/>
    <w:p>
      <w:pPr>
        <w:pStyle w:val="Heading3"/>
      </w:pPr>
      <w:r>
        <w:t xml:space="preserve">Executive Summary</w:t>
      </w:r>
    </w:p>
    <w:p>
      <w:pPr>
        <w:pStyle w:val="FirstParagraph"/>
      </w:pPr>
      <w:r>
        <w:t xml:space="preserve">This Case Study examines the operational, regulatory, and clinical challenges faced by a mid-sized optometry clinic located in the heart of Germany Munich. The primary objective was to modernize service offerings while navigating the complex intersection of statutory health insurance (Gesetzliche Krankenversicherung - GKV) guidelines and private patient expectations specific to the Bavarian capital. The study highlights how specialized</w:t>
      </w:r>
      <w:r>
        <w:t xml:space="preserve"> </w:t>
      </w:r>
      <w:r>
        <w:rPr>
          <w:bCs/>
          <w:b/>
        </w:rPr>
        <w:t xml:space="preserve">Optometrist</w:t>
      </w:r>
      <w:r>
        <w:t xml:space="preserve"> </w:t>
      </w:r>
      <w:r>
        <w:t xml:space="preserve">protocols can improve visual health outcomes, increase patient retention, and ensure financial sustainability in a competitive urban market.</w:t>
      </w:r>
    </w:p>
    <w:bookmarkEnd w:id="20"/>
    <w:bookmarkStart w:id="21" w:name="introduction-and-background"/>
    <w:p>
      <w:pPr>
        <w:pStyle w:val="Heading2"/>
      </w:pPr>
      <w:r>
        <w:t xml:space="preserve">1. Introduction and Background</w:t>
      </w:r>
    </w:p>
    <w:p>
      <w:pPr>
        <w:pStyle w:val="FirstParagraph"/>
      </w:pPr>
      <w:r>
        <w:t xml:space="preserve">In recent years, the demand for specialized vision care has surged globally. Nowhere is this more evident than in Germany Munich, a city known for its high standard of living and robust healthcare infrastructure. However, the role of the</w:t>
      </w:r>
      <w:r>
        <w:t xml:space="preserve"> </w:t>
      </w:r>
      <w:r>
        <w:rPr>
          <w:bCs/>
          <w:b/>
        </w:rPr>
        <w:t xml:space="preserve">Optometrist</w:t>
      </w:r>
      <w:r>
        <w:t xml:space="preserve"> </w:t>
      </w:r>
      <w:r>
        <w:t xml:space="preserve">in this region requires nuanced understanding. Unlike some other jurisdictions where optometrists have expanded prescriptive rights, German regulations strictly delineate responsibilities between ophthalmologists (medical doctors) and opticians/optometrists.</w:t>
      </w:r>
    </w:p>
    <w:p>
      <w:pPr>
        <w:pStyle w:val="BodyText"/>
      </w:pPr>
      <w:r>
        <w:t xml:space="preserve">The clinic analyzed in this case study, referred to here as "VisionCare Munich," faced declining patient volumes despite high foot traffic in its district. The management identified a gap between traditional eye examinations and the comprehensive visual wellness approach required by modern patients. The goal was to restructure the practice to better serve the unique demographic of</w:t>
      </w:r>
      <w:r>
        <w:t xml:space="preserve"> </w:t>
      </w:r>
      <w:r>
        <w:rPr>
          <w:bCs/>
          <w:b/>
        </w:rPr>
        <w:t xml:space="preserve">Germany Munich</w:t>
      </w:r>
      <w:r>
        <w:t xml:space="preserve">, which includes a mix of long-term residents, international professionals, and tourists seeking emergency care.</w:t>
      </w:r>
    </w:p>
    <w:bookmarkEnd w:id="21"/>
    <w:bookmarkStart w:id="22" w:name="problem-statement"/>
    <w:p>
      <w:pPr>
        <w:pStyle w:val="Heading2"/>
      </w:pPr>
      <w:r>
        <w:t xml:space="preserve">2. Problem Statement</w:t>
      </w:r>
    </w:p>
    <w:p>
      <w:pPr>
        <w:pStyle w:val="FirstParagraph"/>
      </w:pPr>
      <w:r>
        <w:t xml:space="preserve">The core issues identified at VisionCare Munich were multifaceted:</w:t>
      </w:r>
    </w:p>
    <w:p>
      <w:pPr>
        <w:numPr>
          <w:ilvl w:val="0"/>
          <w:numId w:val="1001"/>
        </w:numPr>
        <w:pStyle w:val="Compact"/>
      </w:pPr>
      <w:r>
        <w:rPr>
          <w:bCs/>
          <w:b/>
        </w:rPr>
        <w:t xml:space="preserve">Regulatory Complexity:</w:t>
      </w:r>
      <w:r>
        <w:t xml:space="preserve"> </w:t>
      </w:r>
      <w:r>
        <w:t xml:space="preserve">Navigating the reimbursement structures for patients covered by statutory health insurance versus private insurance in</w:t>
      </w:r>
      <w:r>
        <w:t xml:space="preserve"> </w:t>
      </w:r>
      <w:r>
        <w:rPr>
          <w:bCs/>
          <w:b/>
        </w:rPr>
        <w:t xml:space="preserve">Germany Munich</w:t>
      </w:r>
      <w:r>
        <w:t xml:space="preserve">.</w:t>
      </w:r>
    </w:p>
    <w:p>
      <w:pPr>
        <w:numPr>
          <w:ilvl w:val="0"/>
          <w:numId w:val="1001"/>
        </w:numPr>
        <w:pStyle w:val="Compact"/>
      </w:pPr>
      <w:r>
        <w:t xml:space="preserve">Digital Gap:A lack of integrated digital records and telehealth capabilities, leading to administrative bottlenecks.</w:t>
      </w:r>
    </w:p>
    <w:p>
      <w:pPr>
        <w:numPr>
          <w:ilvl w:val="0"/>
          <w:numId w:val="1001"/>
        </w:numPr>
        <w:pStyle w:val="Compact"/>
      </w:pPr>
      <w:r>
        <w:t xml:space="preserve">&lt; strong&gt;Patient Retention: High turnover rates among younger demographics who sought "quick fixes" rather than comprehensive care plans.</w:t>
      </w:r>
    </w:p>
    <w:p>
      <w:pPr>
        <w:numPr>
          <w:ilvl w:val="0"/>
          <w:numId w:val="1001"/>
        </w:numPr>
        <w:pStyle w:val="Compact"/>
      </w:pPr>
      <w:r>
        <w:rPr>
          <w:bCs/>
          <w:b/>
        </w:rPr>
        <w:t xml:space="preserve">Ergonomic Health Demand:</w:t>
      </w:r>
      <w:r>
        <w:t xml:space="preserve"> </w:t>
      </w:r>
      <w:r>
        <w:t xml:space="preserve">A significant increase in patients presenting with digital eye strain and computer vision syndrome, a trend accelerated by post-pandemic remote work cultures prevalent in major German cities.</w:t>
      </w:r>
    </w:p>
    <w:bookmarkEnd w:id="22"/>
    <w:bookmarkStart w:id="26" w:name="methodology-and-implementation"/>
    <w:p>
      <w:pPr>
        <w:pStyle w:val="Heading2"/>
      </w:pPr>
      <w:r>
        <w:t xml:space="preserve">3. Methodology and Implementation</w:t>
      </w:r>
    </w:p>
    <w:p>
      <w:pPr>
        <w:pStyle w:val="FirstParagraph"/>
      </w:pPr>
      <w:r>
        <w:t xml:space="preserve">To address these challenges, VisionCare Munich implemented a three-phase strategy focused on clinical excellence, regulatory compliance, and patient experience enhancement.</w:t>
      </w:r>
    </w:p>
    <w:bookmarkStart w:id="23" w:name="Xd2ed6b4dcc569f2e5191899f2b9bba77063fc5f"/>
    <w:p>
      <w:pPr>
        <w:pStyle w:val="Heading3"/>
      </w:pPr>
      <w:r>
        <w:t xml:space="preserve">Phase 1: Clinical Protocol Standardization for the Optometrist Role</w:t>
      </w:r>
    </w:p>
    <w:p>
      <w:pPr>
        <w:pStyle w:val="FirstParagraph"/>
      </w:pPr>
      <w:r>
        <w:t xml:space="preserve">The clinic retrained its staff to emphasize the preventative role of the</w:t>
      </w:r>
      <w:r>
        <w:t xml:space="preserve"> </w:t>
      </w:r>
      <w:r>
        <w:rPr>
          <w:bCs/>
          <w:b/>
        </w:rPr>
        <w:t xml:space="preserve">Optometrist</w:t>
      </w:r>
      <w:r>
        <w:t xml:space="preserve">. While German law limits certain diagnostic procedures to ophthalmologists, optometrists can perform comprehensive visual assessments. The team implemented advanced non-invasive diagnostics, such as Optical Coherence Tomography (OCT) for preliminary screening (with clear referral pathways to specialists) and binocular vision testing. This ensured that the</w:t>
      </w:r>
      <w:r>
        <w:t xml:space="preserve"> </w:t>
      </w:r>
      <w:r>
        <w:rPr>
          <w:bCs/>
          <w:b/>
        </w:rPr>
        <w:t xml:space="preserve">Optometrist</w:t>
      </w:r>
      <w:r>
        <w:t xml:space="preserve"> </w:t>
      </w:r>
      <w:r>
        <w:t xml:space="preserve">services provided were both within legal bounds and medically valuable.</w:t>
      </w:r>
    </w:p>
    <w:bookmarkEnd w:id="23"/>
    <w:bookmarkStart w:id="24" w:name="Xbddaa39034ebacde92d1385efb94cadebb5319f"/>
    <w:p>
      <w:pPr>
        <w:pStyle w:val="Heading3"/>
      </w:pPr>
      <w:r>
        <w:t xml:space="preserve">Phase 2: Adaptation to the Germany Munich Market Landscape</w:t>
      </w:r>
    </w:p>
    <w:p>
      <w:pPr>
        <w:pStyle w:val="FirstParagraph"/>
      </w:pPr>
      <w:r>
        <w:t xml:space="preserve">The specific context of</w:t>
      </w:r>
      <w:r>
        <w:t xml:space="preserve"> </w:t>
      </w:r>
      <w:r>
        <w:rPr>
          <w:bCs/>
          <w:b/>
        </w:rPr>
        <w:t xml:space="preserve">Germany Munich</w:t>
      </w:r>
      <w:r>
        <w:t xml:space="preserve"> </w:t>
      </w:r>
      <w:r>
        <w:t xml:space="preserve">was central to this phase. The city has a high density of international corporations. Recognizing this, the clinic introduced multilingual services (German, English, and Turkish) and flexible appointment systems catering to busy professionals. Furthermore, the clinic clarified billing procedures for both GKV (statutory) and PKV (private) patients, ensuring transparency in pricing for services beyond the statutory benefit package, such as premium blue-light filtering lenses or specialized contact lens fittings.</w:t>
      </w:r>
    </w:p>
    <w:bookmarkEnd w:id="24"/>
    <w:bookmarkStart w:id="25" w:name="phase-3-digital-integration"/>
    <w:p>
      <w:pPr>
        <w:pStyle w:val="Heading3"/>
      </w:pPr>
      <w:r>
        <w:t xml:space="preserve">Phase 3: Digital Integration</w:t>
      </w:r>
    </w:p>
    <w:p>
      <w:pPr>
        <w:pStyle w:val="FirstParagraph"/>
      </w:pPr>
      <w:r>
        <w:t xml:space="preserve">A new Electronic Health Record (EHR) system was deployed to streamline patient data management. This included automated reminders for annual check-ups and digital questionnaires regarding lifestyle factors affecting vision, particularly relevant for the tech-savvy population of</w:t>
      </w:r>
      <w:r>
        <w:t xml:space="preserve"> </w:t>
      </w:r>
      <w:r>
        <w:rPr>
          <w:bCs/>
          <w:b/>
        </w:rPr>
        <w:t xml:space="preserve">Germany Munich</w:t>
      </w:r>
      <w:r>
        <w:t xml:space="preserve">.</w:t>
      </w:r>
    </w:p>
    <w:bookmarkEnd w:id="25"/>
    <w:bookmarkEnd w:id="26"/>
    <w:bookmarkStart w:id="27" w:name="challenges-encountered"/>
    <w:p>
      <w:pPr>
        <w:pStyle w:val="Heading2"/>
      </w:pPr>
      <w:r>
        <w:t xml:space="preserve">4. Challenges Encountered</w:t>
      </w:r>
    </w:p>
    <w:p>
      <w:pPr>
        <w:pStyle w:val="FirstParagraph"/>
      </w:pPr>
      <w:r>
        <w:t xml:space="preserve">The transition was not without obstacles:</w:t>
      </w:r>
    </w:p>
    <w:p>
      <w:pPr>
        <w:numPr>
          <w:ilvl w:val="0"/>
          <w:numId w:val="1002"/>
        </w:numPr>
        <w:pStyle w:val="Compact"/>
      </w:pPr>
      <w:r>
        <w:rPr>
          <w:bCs/>
          <w:b/>
        </w:rPr>
        <w:t xml:space="preserve">Bureaucratic Hurdles:</w:t>
      </w:r>
      <w:r>
        <w:t xml:space="preserve"> </w:t>
      </w:r>
      <w:r>
        <w:t xml:space="preserve">Adjusting to the strict documentation requirements of the Gemeinsamer Bundesausschuss (G-BA) required significant administrative training.</w:t>
      </w:r>
    </w:p>
    <w:p>
      <w:pPr>
        <w:numPr>
          <w:ilvl w:val="0"/>
          <w:numId w:val="1002"/>
        </w:numPr>
        <w:pStyle w:val="Compact"/>
      </w:pPr>
      <w:r>
        <w:t xml:space="preserve">&lt; strong&gt;Patient Education: Educating patients in</w:t>
      </w:r>
      <w:r>
        <w:t xml:space="preserve"> </w:t>
      </w:r>
      <w:r>
        <w:rPr>
          <w:bCs/>
          <w:b/>
        </w:rPr>
        <w:t xml:space="preserve">Germany Munich, who are often accustomed to free access via insurance, was difficult. Many resisted out-of-pocket payments for preventive care or premium eyewear options not fully covered by basic plans.</w:t>
      </w:r>
    </w:p>
    <w:p>
      <w:pPr>
        <w:numPr>
          <w:ilvl w:val="0"/>
          <w:numId w:val="1002"/>
        </w:numPr>
        <w:pStyle w:val="Compact"/>
      </w:pPr>
      <w:r>
        <w:rPr>
          <w:bCs/>
          <w:b/>
        </w:rPr>
        <w:t xml:space="preserve">Talent Retention:</w:t>
      </w:r>
      <w:r>
        <w:t xml:space="preserve"> </w:t>
      </w:r>
      <w:r>
        <w:t xml:space="preserve">Finding qualified</w:t>
      </w:r>
    </w:p>
    <w:p>
      <w:pPr>
        <w:numPr>
          <w:ilvl w:val="0"/>
          <w:numId w:val="1000"/>
        </w:numPr>
        <w:pStyle w:val="Compact"/>
      </w:pPr>
      <w:r>
        <w:t xml:space="preserve">Optometrists willing to work in the high-cost environment of</w:t>
      </w:r>
    </w:p>
    <w:p>
      <w:pPr>
        <w:numPr>
          <w:ilvl w:val="0"/>
          <w:numId w:val="1000"/>
        </w:numPr>
        <w:pStyle w:val="Compact"/>
      </w:pPr>
      <w:r>
        <w:t xml:space="preserve">Germany Munich proved challenging due to competition from larger hospital groups and established practices.</w:t>
      </w:r>
    </w:p>
    <w:bookmarkEnd w:id="27"/>
    <w:bookmarkStart w:id="28" w:name="X708fdabef638c7166cf18834e91662f2710a5c9"/>
    <w:p>
      <w:pPr>
        <w:pStyle w:val="Heading2"/>
      </w:pPr>
      <w:r>
        <w:t xml:space="preserve">5. Results and Key Performance Indicators (KPIs)</w:t>
      </w:r>
    </w:p>
    <w:p>
      <w:pPr>
        <w:pStyle w:val="FirstParagraph"/>
      </w:pPr>
      <w:r>
        <w:t xml:space="preserve">After twelve months of implementation, VisionCare Munich recorded significant improvements:</w:t>
      </w:r>
    </w:p>
    <w:p>
      <w:pPr>
        <w:numPr>
          <w:ilvl w:val="0"/>
          <w:numId w:val="1003"/>
        </w:numPr>
        <w:pStyle w:val="Compact"/>
      </w:pPr>
      <w:r>
        <w:t xml:space="preserve">Patient Retention: Increased by 35% due to improved follow-up protocols and personalized care plans.</w:t>
      </w:r>
    </w:p>
    <w:p>
      <w:pPr>
        <w:numPr>
          <w:ilvl w:val="0"/>
          <w:numId w:val="1003"/>
        </w:numPr>
        <w:pStyle w:val="Compact"/>
      </w:pPr>
      <w:r>
        <w:t xml:space="preserve">Revenue Growth: A 20% increase in overall revenue, driven by a mix of high-volume statutory services and premium private add-ons.</w:t>
      </w:r>
    </w:p>
    <w:p>
      <w:pPr>
        <w:numPr>
          <w:ilvl w:val="0"/>
          <w:numId w:val="1003"/>
        </w:numPr>
        <w:pStyle w:val="Compact"/>
      </w:pPr>
      <w:r>
        <w:t xml:space="preserve">Patient Satisfaction Scores: Rose from an average of 7.8/10 to 9.2/10, particularly in ratings for "staff knowledge" and "waiting time efficiency."</w:t>
      </w:r>
    </w:p>
    <w:p>
      <w:pPr>
        <w:numPr>
          <w:ilvl w:val="0"/>
          <w:numId w:val="1003"/>
        </w:numPr>
        <w:pStyle w:val="Compact"/>
      </w:pPr>
      <w:r>
        <w:t xml:space="preserve">Digital Engagement: Over 60% of new patients in</w:t>
      </w:r>
      <w:r>
        <w:t xml:space="preserve"> </w:t>
      </w:r>
      <w:r>
        <w:rPr>
          <w:bCs/>
          <w:b/>
        </w:rPr>
        <w:t xml:space="preserve">Germany Munich</w:t>
      </w:r>
      <w:r>
        <w:t xml:space="preserve"> </w:t>
      </w:r>
      <w:r>
        <w:t xml:space="preserve">now book appointments via the online platform, reducing administrative overhead by 15%.</w:t>
      </w:r>
    </w:p>
    <w:bookmarkEnd w:id="28"/>
    <w:bookmarkStart w:id="29" w:name="X88ca0076019ba32eed801467a295384267e7ee4"/>
    <w:p>
      <w:pPr>
        <w:pStyle w:val="Heading2"/>
      </w:pPr>
      <w:r>
        <w:t xml:space="preserve">6. Discussion: The Specific Context of Germany Munich</w:t>
      </w:r>
    </w:p>
    <w:p>
      <w:pPr>
        <w:pStyle w:val="FirstParagraph"/>
      </w:pPr>
      <w:r>
        <w:t xml:space="preserve">The success of this case study is deeply tied to its localization.</w:t>
      </w:r>
      <w:r>
        <w:t xml:space="preserve"> </w:t>
      </w:r>
      <w:r>
        <w:rPr>
          <w:bCs/>
          <w:b/>
        </w:rPr>
        <w:t xml:space="preserve">Germany Munich</w:t>
      </w:r>
      <w:r>
        <w:t xml:space="preserve"> </w:t>
      </w:r>
      <w:r>
        <w:t xml:space="preserve">represents a microcosm of modern European healthcare challenges: high expectations, technological readiness, and strict regulatory frameworks. The</w:t>
      </w:r>
      <w:r>
        <w:t xml:space="preserve"> </w:t>
      </w:r>
      <w:r>
        <w:rPr>
          <w:bCs/>
          <w:b/>
        </w:rPr>
        <w:t xml:space="preserve">Optometrist</w:t>
      </w:r>
      <w:r>
        <w:t xml:space="preserve"> </w:t>
      </w:r>
      <w:r>
        <w:t xml:space="preserve">in this context must act not just as an eye care provider but as a navigator of the healthcare system.</w:t>
      </w:r>
    </w:p>
    <w:p>
      <w:pPr>
        <w:pStyle w:val="BodyText"/>
      </w:pPr>
      <w:r>
        <w:t xml:space="preserve">The data suggests that patients in Munich are willing to pay for convenience and expertise. However, they expect seamless integration with their broader health insurance benefits. Therefore, the</w:t>
      </w:r>
      <w:r>
        <w:t xml:space="preserve"> </w:t>
      </w:r>
      <w:r>
        <w:rPr>
          <w:bCs/>
          <w:b/>
        </w:rPr>
        <w:t xml:space="preserve">Optometrist</w:t>
      </w:r>
      <w:r>
        <w:t xml:space="preserve"> </w:t>
      </w:r>
      <w:r>
        <w:t xml:space="preserve">must maintain rigorous medical standards to build trust, even when services extend beyond statutory requirements.</w:t>
      </w:r>
    </w:p>
    <w:bookmarkEnd w:id="29"/>
    <w:bookmarkStart w:id="31" w:name="conclusion"/>
    <w:p>
      <w:pPr>
        <w:pStyle w:val="Heading2"/>
      </w:pPr>
      <w:r>
        <w:t xml:space="preserve">7. Conclusion</w:t>
      </w:r>
    </w:p>
    <w:p>
      <w:pPr>
        <w:pStyle w:val="FirstParagraph"/>
      </w:pPr>
      <w:r>
        <w:t xml:space="preserve">This case study demonstrates that an</w:t>
      </w:r>
    </w:p>
    <w:p>
      <w:pPr>
        <w:pStyle w:val="BodyText"/>
      </w:pPr>
      <w:r>
        <w:t xml:space="preserve">Optometrist-led practice can thrive in the competitive market of</w:t>
      </w:r>
    </w:p>
    <w:p>
      <w:pPr>
        <w:pStyle w:val="BodyText"/>
      </w:pPr>
      <w:r>
        <w:t xml:space="preserve">Germany Munich. By adhering strictly to local regulations, leveraging technology to enhance efficiency, and focusing on patient education and holistic visual health, practices can achieve sustainable growth. The key takeaway is that the role of the</w:t>
      </w:r>
    </w:p>
    <w:p>
      <w:pPr>
        <w:pStyle w:val="BodyText"/>
      </w:pPr>
      <w:r>
        <w:t xml:space="preserve">Optometrist is evolving from a simple dispenser of corrective lenses to a vital partner in preventive healthcare. For clinics operating in</w:t>
      </w:r>
    </w:p>
    <w:p>
      <w:pPr>
        <w:pStyle w:val="BodyText"/>
      </w:pPr>
      <w:r>
        <w:t xml:space="preserve">Germany Munich, this evolution requires a strategic balance between clinical innovation and administrative adaptability.</w:t>
      </w:r>
    </w:p>
    <w:p>
      <w:pPr>
        <w:pStyle w:val="BodyText"/>
      </w:pPr>
      <w:r>
        <w:t xml:space="preserve">Future recommendations include further integration with local ophthalmologists for seamless referrals and expanding community outreach programs focused on digital eye hygiene, tailored specifically to the urban workforce of</w:t>
      </w:r>
      <w:r>
        <w:t xml:space="preserve"> </w:t>
      </w:r>
      <w:r>
        <w:rPr>
          <w:bCs/>
          <w:b/>
        </w:rPr>
        <w:t xml:space="preserve">Germany Munich</w:t>
      </w:r>
      <w:r>
        <w:t xml:space="preserve">.</w:t>
      </w:r>
    </w:p>
    <w:bookmarkStart w:id="30" w:name="final-thought"/>
    <w:p>
      <w:pPr>
        <w:pStyle w:val="Heading3"/>
      </w:pPr>
      <w:r>
        <w:t xml:space="preserve">Final Thought</w:t>
      </w:r>
    </w:p>
    <w:p>
      <w:pPr>
        <w:pStyle w:val="FirstParagraph"/>
      </w:pPr>
      <w:r>
        <w:t xml:space="preserve">In conclusion, the synergy between professional optometric expertise and a deep understanding of local market dynamics in</w:t>
      </w:r>
      <w:r>
        <w:t xml:space="preserve"> </w:t>
      </w:r>
      <w:r>
        <w:rPr>
          <w:bCs/>
          <w:b/>
        </w:rPr>
        <w:t xml:space="preserve">Germany Munich</w:t>
      </w:r>
      <w:r>
        <w:t xml:space="preserve"> </w:t>
      </w:r>
      <w:r>
        <w:t xml:space="preserve">is the cornerstone of modern success. As healthcare continues to shift towards patient-centered models, the</w:t>
      </w:r>
    </w:p>
    <w:p>
      <w:pPr>
        <w:pStyle w:val="BodyText"/>
      </w:pPr>
      <w:r>
        <w:t xml:space="preserve">Optometrist remains at the forefront of visual wellness.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Optometric Care in Germany Munich</dc:title>
  <dc:creator/>
  <dc:language>en</dc:language>
  <cp:keywords/>
  <dcterms:created xsi:type="dcterms:W3CDTF">2026-07-29T13:52:02Z</dcterms:created>
  <dcterms:modified xsi:type="dcterms:W3CDTF">2026-07-29T13:52:02Z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