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Expanding</w:t>
      </w:r>
      <w:r>
        <w:t xml:space="preserve"> </w:t>
      </w:r>
      <w:r>
        <w:t xml:space="preserve">Optometry</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31" w:name="X56ed1f6581a97c11f2004b81ca4ca2131c81a79"/>
    <w:p>
      <w:pPr>
        <w:pStyle w:val="Heading1"/>
      </w:pPr>
      <w:r>
        <w:t xml:space="preserve">Case Study: Strategic Expansion of Optometry Services in Indonesia Jakarta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Focus Region:</w:t>
      </w:r>
      <w:r>
        <w:t xml:space="preserve"> </w:t>
      </w:r>
      <w:r>
        <w:t xml:space="preserve">Indonesia, Jakarta Special Capital Region</w:t>
      </w:r>
    </w:p>
    <w:bookmarkStart w:id="20" w:name="executive-summary"/>
    <w:p>
      <w:pPr>
        <w:pStyle w:val="Heading2"/>
      </w:pPr>
      <w:r>
        <w:t xml:space="preserve">1. Executive Summary</w:t>
      </w:r>
    </w:p>
    <w:p>
      <w:pPr>
        <w:pStyle w:val="FirstParagraph"/>
      </w:pPr>
      <w:r>
        <w:t xml:space="preserve">This document presents a comprehensive case study regarding the establishment and operational scaling of high-quality optical retail and clinical services in Indonesia, specifically within the bustling metropolis of Jakarta. The primary objective is to analyze how an integrated Optometrist-led business model can capture market share in one of Southeast Asia's most competitive urban centers. With rising disposable incomes, a surge in digital screen time among the population, and an increasing awareness of preventive healthcare, the demand for professional eye care has never been higher. This study details the market dynamics, regulatory landscape for Optometrist practices in Indonesia Jakarta, and strategic recommendations tailored to this unique demographic.</w:t>
      </w:r>
    </w:p>
    <w:bookmarkEnd w:id="20"/>
    <w:bookmarkStart w:id="22" w:name="Xa9817d48abd9addf61b04867a489eef7188560a"/>
    <w:p>
      <w:pPr>
        <w:pStyle w:val="Heading2"/>
      </w:pPr>
      <w:r>
        <w:t xml:space="preserve">2. Market Context: The Rise of Vision Health Awareness</w:t>
      </w:r>
    </w:p>
    <w:p>
      <w:pPr>
        <w:pStyle w:val="FirstParagraph"/>
      </w:pPr>
      <w:r>
        <w:t xml:space="preserve">Jakarta represents a microcosm of Indonesia’s rapidly evolving economic landscape. As the capital city and the largest urban center in Southeast Asia, it boasts a population exceeding ten million people within its city limits, with greater metropolitan areas swelling that number significantly. Historically, vision care in Indonesia was viewed through the lens of corrective necessity rather than holistic health management. However, recent trends indicate a paradigm shift among middle-to-upper-class consumers who are increasingly seeking specialized Optometrist consultations rather than relying solely on general practitioners or quick optical dispensers.</w:t>
      </w:r>
    </w:p>
    <w:bookmarkStart w:id="21" w:name="the-digital-eye-strain-epidemic"/>
    <w:p>
      <w:pPr>
        <w:pStyle w:val="Heading3"/>
      </w:pPr>
      <w:r>
        <w:t xml:space="preserve">2.1 The Digital Eye Strain Epidemic</w:t>
      </w:r>
    </w:p>
    <w:p>
      <w:pPr>
        <w:pStyle w:val="FirstParagraph"/>
      </w:pPr>
      <w:r>
        <w:t xml:space="preserve">A critical driver for the demand of professional Optometry services in Indonesia Jakarta is the digital lifestyle of its residents. With Jakarta having one of the highest rates of smartphone and laptop usage globally, cases of computer vision syndrome, myopia progression in children, and dry eye conditions have skyrocketed. Local studies suggest that over 60% office workers in Jakarta suffer from symptoms related to prolonged screen exposure. This creates a robust market for Optometrist-led interventions such as blue-light filtering prescriptions, ergonomic vision therapy advice, and regular preventive screenings.</w:t>
      </w:r>
    </w:p>
    <w:bookmarkEnd w:id="21"/>
    <w:bookmarkEnd w:id="22"/>
    <w:bookmarkStart w:id="23" w:name="Xe1e1a771bb024858e5f74e069b8dcf1c2c0d5aa"/>
    <w:p>
      <w:pPr>
        <w:pStyle w:val="Heading2"/>
      </w:pPr>
      <w:r>
        <w:t xml:space="preserve">3. Regulatory Landscape and Professional Standards</w:t>
      </w:r>
    </w:p>
    <w:p>
      <w:pPr>
        <w:pStyle w:val="FirstParagraph"/>
      </w:pPr>
      <w:r>
        <w:t xml:space="preserve">Navigating the healthcare regulations in Indonesia requires careful attention to local laws governing medical practitioners. In Indonesia Jakarta, an Optometrist is recognized as a health professional specializing in the examination of eyes and vision disorders. However, the distinction between a licensed medical doctor (Ophthalmologist) and an Optometrist remains crucial for legal compliance.</w:t>
      </w:r>
    </w:p>
    <w:p>
      <w:pPr>
        <w:pStyle w:val="BodyText"/>
      </w:pPr>
      <w:r>
        <w:t xml:space="preserve">The Indonesian Ministry of Health regulates the practice of optometry through specific certifications. For this case study, we assume partnership with or employment of fully licensed Optometrists who hold valid permits issued by the relevant professional bodies in Indonesia. This ensures that all diagnostic procedures are compliant with national standards, building trust with local patients who may be wary of unqualified optical sellers.</w:t>
      </w:r>
    </w:p>
    <w:bookmarkEnd w:id="23"/>
    <w:bookmarkStart w:id="26" w:name="operational-challenges-and-solutions"/>
    <w:p>
      <w:pPr>
        <w:pStyle w:val="Heading2"/>
      </w:pPr>
      <w:r>
        <w:t xml:space="preserve">4. Operational Challenges and Solutions</w:t>
      </w:r>
    </w:p>
    <w:bookmarkStart w:id="24" w:name="traffic-and-accessibility"/>
    <w:p>
      <w:pPr>
        <w:pStyle w:val="Heading3"/>
      </w:pPr>
      <w:r>
        <w:t xml:space="preserve">4.1 Traffic and Accessibility</w:t>
      </w:r>
    </w:p>
    <w:p>
      <w:pPr>
        <w:pStyle w:val="FirstParagraph"/>
      </w:pPr>
      <w:r>
        <w:t xml:space="preserve">Jakarta is infamous for its heavy traffic congestion, which impacts both customer footfall and logistics. A strategic decision to locate Optometry clinics in high-density commercial hubs like Sudirman-Thamrin or specialized lifestyle centers such as Senayan City helps mitigate accessibility issues for the target demographic of affluent urbanites who value convenience and premium service environments.</w:t>
      </w:r>
    </w:p>
    <w:bookmarkEnd w:id="24"/>
    <w:bookmarkStart w:id="25" w:name="supply-chain-management"/>
    <w:p>
      <w:pPr>
        <w:pStyle w:val="Heading3"/>
      </w:pPr>
      <w:r>
        <w:t xml:space="preserve">4.2 Supply Chain Management</w:t>
      </w:r>
    </w:p>
    <w:p>
      <w:pPr>
        <w:pStyle w:val="FirstParagraph"/>
      </w:pPr>
      <w:r>
        <w:t xml:space="preserve">Sourcing high-quality ophthalmic lenses and frames in Indonesia involves navigating import duties and local distribution networks. Establishing direct relationships with international lens manufacturers while maintaining a localized inventory of trendy, affordable frames is essential for price competitiveness against existing large chains like Zeelux or Optik Matahari.</w:t>
      </w:r>
    </w:p>
    <w:bookmarkEnd w:id="25"/>
    <w:bookmarkEnd w:id="26"/>
    <w:bookmarkStart w:id="27" w:name="strategic-implementation-plan"/>
    <w:p>
      <w:pPr>
        <w:pStyle w:val="Heading2"/>
      </w:pPr>
      <w:r>
        <w:t xml:space="preserve">5. Strategic Implementation Plan</w:t>
      </w:r>
    </w:p>
    <w:p>
      <w:pPr>
        <w:pStyle w:val="FirstParagraph"/>
      </w:pPr>
      <w:r>
        <w:t xml:space="preserve">To successfully penetrate the Indonesia Jakarta market, the following strategic pillars are recommended:</w:t>
      </w:r>
    </w:p>
    <w:p>
      <w:pPr>
        <w:numPr>
          <w:ilvl w:val="0"/>
          <w:numId w:val="1001"/>
        </w:numPr>
        <w:pStyle w:val="Compact"/>
      </w:pPr>
      <w:r>
        <w:rPr>
          <w:bCs/>
          <w:b/>
        </w:rPr>
        <w:t xml:space="preserve">Differentiation through Technology:</w:t>
      </w:r>
      <w:r>
        <w:t xml:space="preserve">The clinic must feature advanced diagnostic technology available only in select centers in Indonesia. This includes retinal imaging and digital visual field testing. Highlighting these capabilities positions the Optometrist brand as a leader in modern eye care.</w:t>
      </w:r>
    </w:p>
    <w:p>
      <w:pPr>
        <w:numPr>
          <w:ilvl w:val="0"/>
          <w:numId w:val="1001"/>
        </w:numPr>
        <w:pStyle w:val="Compact"/>
      </w:pPr>
      <w:r>
        <w:rPr>
          <w:bCs/>
          <w:b/>
        </w:rPr>
        <w:t xml:space="preserve">Educational Marketing:</w:t>
      </w:r>
      <w:r>
        <w:t xml:space="preserve">Conducting seminars and workshops on "Eye Health for Digital Workers" will establish authority. Partnering with local corporate offices in Jakarta’s business district to offer employee vision checks can drive B2B revenue while raising brand awareness.</w:t>
      </w:r>
    </w:p>
    <w:p>
      <w:pPr>
        <w:numPr>
          <w:ilvl w:val="0"/>
          <w:numId w:val="1001"/>
        </w:numPr>
        <w:pStyle w:val="Compact"/>
      </w:pPr>
      <w:r>
        <w:rPr>
          <w:bCs/>
          <w:b/>
        </w:rPr>
        <w:t xml:space="preserve">Pediatric Focus:</w:t>
      </w:r>
      <w:r>
        <w:t xml:space="preserve">Parents in Indonesia are increasingly concerned about myopia control in children. Offering specialized Ortho-K (Orthokeratology) lenses and myopia management programs led by pediatric-trained Optometrists will create a loyal customer base among families.</w:t>
      </w:r>
    </w:p>
    <w:bookmarkEnd w:id="27"/>
    <w:bookmarkStart w:id="28" w:name="financial-projections-and-roi"/>
    <w:p>
      <w:pPr>
        <w:pStyle w:val="Heading2"/>
      </w:pPr>
      <w:r>
        <w:t xml:space="preserve">6. Financial Projections and ROI</w:t>
      </w:r>
    </w:p>
    <w:p>
      <w:pPr>
        <w:pStyle w:val="FirstParagraph"/>
      </w:pPr>
      <w:r>
        <w:t xml:space="preserve">The initial capital expenditure for a flagship Optometry center in Jakarta is substantial, covering rent, high-end equipment, and licensing fees. However, the return on investment (ROI) is projected to be strong within 18 to 24 months due to the high average transaction value of premium eyewear and the recurring revenue model provided by annual eye exams.</w:t>
      </w:r>
    </w:p>
    <w:p>
      <w:pPr>
        <w:pStyle w:val="BodyText"/>
      </w:pPr>
      <w:r>
        <w:t xml:space="preserve">Revenue streams will include clinical consultation fees, prescription lens sales, contact lens fittings, and low-vision aids. It is estimated that repeat customers account for 40% of total revenue in mature markets like Indonesia Jakarta, emphasizing the importance of customer relationship management systems tailored to remind patients of their annual check-ups.</w:t>
      </w:r>
    </w:p>
    <w:bookmarkEnd w:id="28"/>
    <w:bookmarkStart w:id="29" w:name="competitive-analysis"/>
    <w:p>
      <w:pPr>
        <w:pStyle w:val="Heading2"/>
      </w:pPr>
      <w:r>
        <w:t xml:space="preserve">7. Competitive Analysis</w:t>
      </w:r>
    </w:p>
    <w:p>
      <w:pPr>
        <w:pStyle w:val="FirstParagraph"/>
      </w:pPr>
      <w:r>
        <w:t xml:space="preserve">The current landscape in Indonesia Jakarta includes large retail chains and small independent optical shops. Large chains compete on price and volume, while independent shops rely on personal relationships. There is a distinct gap for a "premium care" brand that combines clinical excellence with luxury retail experiences. By positioning the Optometrist not just as a seller of glasses but as a healthcare provider, the business can command higher margins and foster deeper customer loyalty compared to competitors who treat eye care merely as an accessory purchase.</w:t>
      </w:r>
    </w:p>
    <w:bookmarkEnd w:id="29"/>
    <w:bookmarkStart w:id="30" w:name="conclusion-and-recommendations"/>
    <w:p>
      <w:pPr>
        <w:pStyle w:val="Heading2"/>
      </w:pPr>
      <w:r>
        <w:t xml:space="preserve">8. Conclusion and Recommendations</w:t>
      </w:r>
    </w:p>
    <w:p>
      <w:pPr>
        <w:pStyle w:val="FirstParagraph"/>
      </w:pPr>
      <w:r>
        <w:t xml:space="preserve">In conclusion, the expansion of specialized Optometry services in Indonesia Jakarta represents a lucrative opportunity driven by demographic shifts, increased health literacy, and rising urbanization. The key to success lies in strict adherence to Indonesian regulatory standards for Optometrists, strategic location selection within Jakarta’s commercial centers, and a strong emphasis on digital eye health education.</w:t>
      </w:r>
    </w:p>
    <w:p>
      <w:pPr>
        <w:pStyle w:val="BodyText"/>
      </w:pPr>
      <w:r>
        <w:t xml:space="preserve">Stakeholders should prioritize hiring certified local talent while integrating international best practices. By addressing the specific needs of the Jakarta population—particularly regarding digital strain and pediatric myopia—the proposed business model is well-positioned to become a market leader in the Indonesian eye care sector. Future phases should explore tele-optometry consultations to serve remote areas, further solidifying the brand’s presence across Indonesia.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Expanding Optometry Services in Indonesia Jakarta</dc:title>
  <dc:creator/>
  <dc:language>en</dc:language>
  <cp:keywords/>
  <dcterms:created xsi:type="dcterms:W3CDTF">2026-07-29T13:38:11Z</dcterms:created>
  <dcterms:modified xsi:type="dcterms:W3CDTF">2026-07-29T13:38:11Z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