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Optometric</w:t>
      </w:r>
      <w:r>
        <w:t xml:space="preserve"> </w:t>
      </w:r>
      <w:r>
        <w:t xml:space="preserve">Care</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Netherlands</w:t>
      </w:r>
      <w:r>
        <w:t xml:space="preserve"> </w:t>
      </w:r>
      <w:r>
        <w:t xml:space="preserve">Amsterdam</w:t>
      </w:r>
    </w:p>
    <w:bookmarkStart w:id="31" w:name="Xb854b066c001eb3e21b73f3fd4db228064b502d"/>
    <w:p>
      <w:pPr>
        <w:pStyle w:val="Heading1"/>
      </w:pPr>
      <w:r>
        <w:t xml:space="preserve">Case Study: The Evolution of Primary Eye Care for the International Demographic in Netherlands Amsterdam</w:t>
      </w:r>
    </w:p>
    <w:p>
      <w:pPr>
        <w:pStyle w:val="FirstParagraph"/>
      </w:pPr>
      <w:r>
        <w:rPr>
          <w:bCs/>
          <w:b/>
        </w:rPr>
        <w:t xml:space="preserve">Date:</w:t>
      </w:r>
      <w:r>
        <w:t xml:space="preserve"> </w:t>
      </w:r>
      <w:r>
        <w:t xml:space="preserve">October 24, 2023</w:t>
      </w:r>
      <w:r>
        <w:br/>
      </w:r>
      <w:r>
        <w:rPr>
          <w:bCs/>
          <w:b/>
        </w:rPr>
        <w:t xml:space="preserve">Audience:</w:t>
      </w:r>
    </w:p>
    <w:bookmarkStart w:id="20" w:name="executive-summary"/>
    <w:p>
      <w:pPr>
        <w:pStyle w:val="Heading2"/>
      </w:pPr>
      <w:r>
        <w:t xml:space="preserve">1. Executive Summary</w:t>
      </w:r>
    </w:p>
    <w:p>
      <w:pPr>
        <w:pStyle w:val="FirstParagraph"/>
      </w:pPr>
      <w:r>
        <w:t xml:space="preserve">This case study examines the operational challenges and strategic adaptations required for an independent optometry practice situated in the heart of Netherlands Amsterdam. As one of Europe’s most densely populated and internationally diverse cities, Amsterdam presents a unique set of demographic, regulatory, and clinical challenges for eye care providers. This document analyzes how modernizing service delivery, integrating digital health technologies, and adopting a patient-centric model can enhance accessibility and outcomes for the heterogeneous population residing in Netherlands Amsterdam.</w:t>
      </w:r>
    </w:p>
    <w:bookmarkEnd w:id="20"/>
    <w:bookmarkStart w:id="21" w:name="background-and-context"/>
    <w:p>
      <w:pPr>
        <w:pStyle w:val="Heading2"/>
      </w:pPr>
      <w:r>
        <w:t xml:space="preserve">2. Background and Context</w:t>
      </w:r>
    </w:p>
    <w:p>
      <w:pPr>
        <w:pStyle w:val="FirstParagraph"/>
      </w:pPr>
      <w:r>
        <w:t xml:space="preserve">The role of the</w:t>
      </w:r>
      <w:r>
        <w:t xml:space="preserve"> </w:t>
      </w:r>
      <w:r>
        <w:rPr>
          <w:bCs/>
          <w:b/>
        </w:rPr>
        <w:t xml:space="preserve">Optometrist</w:t>
      </w:r>
      <w:r>
        <w:t xml:space="preserve"> </w:t>
      </w:r>
      <w:r>
        <w:t xml:space="preserve">in the Dutch healthcare system is pivotal yet distinct from models seen in other countries. In recent years, there has been a significant shift towards preventive care and early detection of ocular diseases such as glaucoma, diabetic retinopathy, and age-related macular degeneration. The city of</w:t>
      </w:r>
      <w:r>
        <w:t xml:space="preserve"> </w:t>
      </w:r>
      <w:r>
        <w:rPr>
          <w:bCs/>
          <w:b/>
        </w:rPr>
        <w:t xml:space="preserve">Netherlands Amsterdam</w:t>
      </w:r>
      <w:r>
        <w:t xml:space="preserve"> </w:t>
      </w:r>
      <w:r>
        <w:t xml:space="preserve">serves as a microcosm for broader urban healthcare challenges due to its high concentration of residents from over 180 different nationalities.</w:t>
      </w:r>
    </w:p>
    <w:p>
      <w:pPr>
        <w:pStyle w:val="BodyText"/>
      </w:pPr>
      <w:r>
        <w:t xml:space="preserve">The primary subject of this case study is "VisionFirst Clinic," a mid-sized optometry practice located in the Jordaan district. Established five years ago, VisionFirst sought to address two critical gaps: language barriers for non-Dutch speaking residents and the lack of integrated care for patients with systemic conditions like diabetes, which disproportionately affects urban populations.</w:t>
      </w:r>
    </w:p>
    <w:bookmarkEnd w:id="21"/>
    <w:bookmarkStart w:id="22" w:name="problem-statement"/>
    <w:p>
      <w:pPr>
        <w:pStyle w:val="Heading2"/>
      </w:pPr>
      <w:r>
        <w:t xml:space="preserve">3. Problem Statement</w:t>
      </w:r>
    </w:p>
    <w:p>
      <w:pPr>
        <w:pStyle w:val="FirstParagraph"/>
      </w:pPr>
      <w:r>
        <w:t xml:space="preserve">VisionFirst Clinic faced three primary challenges upon its inception in Netherlands Amsterdam:</w:t>
      </w:r>
    </w:p>
    <w:p>
      <w:pPr>
        <w:numPr>
          <w:ilvl w:val="0"/>
          <w:numId w:val="1001"/>
        </w:numPr>
        <w:pStyle w:val="Compact"/>
      </w:pPr>
      <w:r>
        <w:rPr>
          <w:bCs/>
          <w:b/>
        </w:rPr>
        <w:t xml:space="preserve">Linguistic and Cultural Barriers:</w:t>
      </w:r>
      <w:r>
        <w:t xml:space="preserve">A significant portion of the patient base consisted of expatriates, students, and immigrants who did not speak Dutch. Traditional communication methods failed to convey complex diagnostic information effectively.</w:t>
      </w:r>
    </w:p>
    <w:p>
      <w:pPr>
        <w:numPr>
          <w:ilvl w:val="0"/>
          <w:numId w:val="1001"/>
        </w:numPr>
        <w:pStyle w:val="Compact"/>
      </w:pPr>
      <w:r>
        <w:rPr>
          <w:bCs/>
          <w:b/>
        </w:rPr>
        <w:t xml:space="preserve">Demand for Specialized Screening:</w:t>
      </w:r>
      <w:r>
        <w:t xml:space="preserve">The aging population in Amsterdam requires more frequent monitoring for age-related eye conditions, while the younger demographic requires management of digital eye strain and myopia control. The existing workflow was unable to accommodate this dual demand efficiently.</w:t>
      </w:r>
    </w:p>
    <w:p>
      <w:pPr>
        <w:numPr>
          <w:ilvl w:val="0"/>
          <w:numId w:val="1001"/>
        </w:numPr>
        <w:pStyle w:val="Compact"/>
      </w:pPr>
      <w:r>
        <w:rPr>
          <w:bCs/>
          <w:b/>
        </w:rPr>
        <w:t xml:space="preserve">Regulatory Complexity:</w:t>
      </w:r>
      <w:r>
        <w:t xml:space="preserve">Navigating the intricate insurance landscape in the Netherlands, where basic coverage is mandatory but supplementary packages vary widely, created administrative bottlenecks that reduced patient throughput.</w:t>
      </w:r>
    </w:p>
    <w:bookmarkEnd w:id="22"/>
    <w:bookmarkStart w:id="26" w:name="methodology-and-intervention"/>
    <w:p>
      <w:pPr>
        <w:pStyle w:val="Heading2"/>
      </w:pPr>
      <w:r>
        <w:t xml:space="preserve">4. Methodology and Intervention</w:t>
      </w:r>
    </w:p>
    <w:p>
      <w:pPr>
        <w:pStyle w:val="FirstParagraph"/>
      </w:pPr>
      <w:r>
        <w:t xml:space="preserve">To address these challenges, VisionFirst implemented a comprehensive strategy focusing on technological integration, multicultural competency training for staff, and expanded clinical services. The goal was to redefine the standard of care for an</w:t>
      </w:r>
      <w:r>
        <w:t xml:space="preserve"> </w:t>
      </w:r>
      <w:r>
        <w:rPr>
          <w:bCs/>
          <w:b/>
        </w:rPr>
        <w:t xml:space="preserve">Optometrist</w:t>
      </w:r>
      <w:r>
        <w:t xml:space="preserve"> </w:t>
      </w:r>
      <w:r>
        <w:t xml:space="preserve">in a high-density urban environment.</w:t>
      </w:r>
    </w:p>
    <w:bookmarkStart w:id="23" w:name="digital-integration-and-telemedicine"/>
    <w:p>
      <w:pPr>
        <w:pStyle w:val="Heading3"/>
      </w:pPr>
      <w:r>
        <w:t xml:space="preserve">4.1 Digital Integration and Telemedicine</w:t>
      </w:r>
    </w:p>
    <w:p>
      <w:pPr>
        <w:pStyle w:val="FirstParagraph"/>
      </w:pPr>
      <w:r>
        <w:t xml:space="preserve">The clinic introduced a multi-lingual digital patient portal allowing appointments, record access, and preliminary health questionnaires in English, Spanish, German, and French. Furthermore, the integration of AI-driven retinal imaging software allowed for faster screening of diabetic retinopathy. This tool enabled the</w:t>
      </w:r>
      <w:r>
        <w:t xml:space="preserve"> </w:t>
      </w:r>
      <w:r>
        <w:rPr>
          <w:bCs/>
          <w:b/>
        </w:rPr>
        <w:t xml:space="preserve">Optometrist</w:t>
      </w:r>
      <w:r>
        <w:t xml:space="preserve"> </w:t>
      </w:r>
      <w:r>
        <w:t xml:space="preserve">to triage patients more effectively, referring high-risk cases to ophthalmologists promptly.</w:t>
      </w:r>
    </w:p>
    <w:bookmarkEnd w:id="23"/>
    <w:bookmarkStart w:id="24" w:name="Xf003f8a56917354047c0f01d47179da96c64ccc"/>
    <w:p>
      <w:pPr>
        <w:pStyle w:val="Heading3"/>
      </w:pPr>
      <w:r>
        <w:t xml:space="preserve">4.2 Multicultural Competency and Staff Training</w:t>
      </w:r>
    </w:p>
    <w:p>
      <w:pPr>
        <w:pStyle w:val="FirstParagraph"/>
      </w:pPr>
      <w:r>
        <w:t xml:space="preserve">VisionFirst partnered with local language schools in Netherlands Amsterdam to provide translation services on-site. Additionally, all clinical staff underwent mandatory cultural competency training to better understand the health beliefs and communication styles of various communities represented in the city.</w:t>
      </w:r>
    </w:p>
    <w:bookmarkEnd w:id="24"/>
    <w:bookmarkStart w:id="25" w:name="expanded-scope-of-practice"/>
    <w:p>
      <w:pPr>
        <w:pStyle w:val="Heading3"/>
      </w:pPr>
      <w:r>
        <w:t xml:space="preserve">4.3 Expanded Scope of Practice</w:t>
      </w:r>
    </w:p>
    <w:p>
      <w:pPr>
        <w:pStyle w:val="FirstParagraph"/>
      </w:pPr>
      <w:r>
        <w:t xml:space="preserve">Leveraging Dutch regulations that allow optometrists to prescribe certain medications for ocular surface diseases, the clinic expanded its service menu to include dry eye management and allergy treatments. This move not only improved patient outcomes but also increased revenue streams independent of glasses and contact lens sales.</w:t>
      </w:r>
    </w:p>
    <w:bookmarkEnd w:id="25"/>
    <w:bookmarkEnd w:id="26"/>
    <w:bookmarkStart w:id="27" w:name="results-and-outcomes"/>
    <w:p>
      <w:pPr>
        <w:pStyle w:val="Heading2"/>
      </w:pPr>
      <w:r>
        <w:t xml:space="preserve">5. Results and Outcomes</w:t>
      </w:r>
    </w:p>
    <w:p>
      <w:pPr>
        <w:pStyle w:val="FirstParagraph"/>
      </w:pPr>
      <w:r>
        <w:t xml:space="preserve">After a twelve-month implementation period, VisionFirst Clinic reported significant improvements across key performance indicators:</w:t>
      </w:r>
    </w:p>
    <w:p>
      <w:pPr>
        <w:numPr>
          <w:ilvl w:val="0"/>
          <w:numId w:val="1002"/>
        </w:numPr>
        <w:pStyle w:val="Compact"/>
      </w:pPr>
      <w:r>
        <w:rPr>
          <w:bCs/>
          <w:b/>
        </w:rPr>
        <w:t xml:space="preserve">Patient Satisfaction:</w:t>
      </w:r>
      <w:r>
        <w:t xml:space="preserve">A 40% increase in patient satisfaction scores, particularly among non-Dutch speaking residents who cited improved communication and empathy as primary factors.</w:t>
      </w:r>
    </w:p>
    <w:p>
      <w:pPr>
        <w:numPr>
          <w:ilvl w:val="0"/>
          <w:numId w:val="1002"/>
        </w:numPr>
        <w:pStyle w:val="Compact"/>
      </w:pPr>
      <w:r>
        <w:rPr>
          <w:bCs/>
          <w:b/>
        </w:rPr>
        <w:t xml:space="preserve">Early Detection Rates:</w:t>
      </w:r>
      <w:r>
        <w:t xml:space="preserve">The use of AI-assisted screening led to a 25% increase in early-stage diabetic retinopathy detections compared to the previous year. This early intervention prevented potential vision loss for numerous patients in the Amsterdam area.</w:t>
      </w:r>
    </w:p>
    <w:p>
      <w:pPr>
        <w:numPr>
          <w:ilvl w:val="0"/>
          <w:numId w:val="1002"/>
        </w:numPr>
        <w:pStyle w:val="Compact"/>
      </w:pPr>
      <w:r>
        <w:rPr>
          <w:bCs/>
          <w:b/>
        </w:rPr>
        <w:t xml:space="preserve">Economic Efficiency:</w:t>
      </w:r>
      <w:r>
        <w:t xml:space="preserve">Administrative processing time was reduced by 30% due to automated insurance verification tools integrated into the digital portal.</w:t>
      </w:r>
    </w:p>
    <w:p>
      <w:pPr>
        <w:numPr>
          <w:ilvl w:val="0"/>
          <w:numId w:val="1002"/>
        </w:numPr>
        <w:pStyle w:val="Compact"/>
      </w:pPr>
      <w:r>
        <w:rPr>
          <w:bCs/>
          <w:b/>
        </w:rPr>
        <w:t xml:space="preserve">Clinical Outcomes:</w:t>
      </w:r>
      <w:r>
        <w:t xml:space="preserve">Patient adherence to treatment plans for dry eye disease improved significantly, attributed to clearer communication and follow-up reminders via the app.</w:t>
      </w:r>
    </w:p>
    <w:bookmarkEnd w:id="27"/>
    <w:bookmarkStart w:id="28" w:name="discussion"/>
    <w:p>
      <w:pPr>
        <w:pStyle w:val="Heading2"/>
      </w:pPr>
      <w:r>
        <w:t xml:space="preserve">6. Discussion</w:t>
      </w:r>
    </w:p>
    <w:p>
      <w:pPr>
        <w:pStyle w:val="FirstParagraph"/>
      </w:pPr>
      <w:r>
        <w:t xml:space="preserve">The success of VisionFirst Clinic underscores the importance of adapting the role of an</w:t>
      </w:r>
      <w:r>
        <w:t xml:space="preserve"> </w:t>
      </w:r>
      <w:r>
        <w:rPr>
          <w:bCs/>
          <w:b/>
        </w:rPr>
        <w:t xml:space="preserve">Optometrist</w:t>
      </w:r>
      <w:r>
        <w:t xml:space="preserve"> </w:t>
      </w:r>
      <w:r>
        <w:t xml:space="preserve">to meet the specific needs of a diverse urban population in Netherlands Amsterdam. The traditional model of reactive eye care—waiting for patients to report vision problems—is insufficient in a city characterized by rapid demographic shifts and high health literacy among its residents.</w:t>
      </w:r>
    </w:p>
    <w:p>
      <w:pPr>
        <w:pStyle w:val="BodyText"/>
      </w:pPr>
      <w:r>
        <w:t xml:space="preserve">The integration of technology did not replace human interaction but rather enhanced it. By automating routine tasks, the</w:t>
      </w:r>
      <w:r>
        <w:t xml:space="preserve"> </w:t>
      </w:r>
      <w:r>
        <w:rPr>
          <w:bCs/>
          <w:b/>
        </w:rPr>
        <w:t xml:space="preserve">Optometrist</w:t>
      </w:r>
      <w:r>
        <w:t xml:space="preserve"> </w:t>
      </w:r>
      <w:r>
        <w:t xml:space="preserve">was able to spend more time on patient education and complex diagnostic reasoning. This is crucial in a setting like Netherlands Amsterdam, where patients often seek comprehensive health advice rather than just prescription refills.</w:t>
      </w:r>
    </w:p>
    <w:p>
      <w:pPr>
        <w:pStyle w:val="BodyText"/>
      </w:pPr>
      <w:r>
        <w:t xml:space="preserve">Furthermore, the case highlights the necessity of linguistic inclusivity in healthcare. In a global city like Amsterdam, providing care in multiple languages is not merely a courtesy but a clinical necessity to ensure accurate history taking and informed consent. The investment in translation services yielded high returns by building trust within underserved communities.</w:t>
      </w:r>
    </w:p>
    <w:bookmarkEnd w:id="28"/>
    <w:bookmarkStart w:id="29" w:name="challenges-and-lessons-learned"/>
    <w:p>
      <w:pPr>
        <w:pStyle w:val="Heading2"/>
      </w:pPr>
      <w:r>
        <w:t xml:space="preserve">7. Challenges and Lessons Learned</w:t>
      </w:r>
    </w:p>
    <w:p>
      <w:pPr>
        <w:pStyle w:val="FirstParagraph"/>
      </w:pPr>
      <w:r>
        <w:t xml:space="preserve">While the outcomes were positive, the transition was not without hurdles. Initial resistance from older staff members to new digital tools required significant change management efforts. Additionally, maintaining high-quality interpretation services proved costly; however, this was offset by increased patient volume.</w:t>
      </w:r>
    </w:p>
    <w:p>
      <w:pPr>
        <w:pStyle w:val="BodyText"/>
      </w:pPr>
      <w:r>
        <w:t xml:space="preserve">The case also revealed a gap in insurance coverage for certain preventive services in the Netherlands Amsterdam market. Patients were often confused about what was covered by their basic package versus supplementary plans. This necessitated additional educational resources, further emphasizing the educational role of the modern</w:t>
      </w:r>
      <w:r>
        <w:t xml:space="preserve"> </w:t>
      </w:r>
      <w:r>
        <w:rPr>
          <w:bCs/>
          <w:b/>
        </w:rPr>
        <w:t xml:space="preserve">Optometrist</w:t>
      </w:r>
      <w:r>
        <w:t xml:space="preserve">.</w:t>
      </w:r>
    </w:p>
    <w:bookmarkEnd w:id="29"/>
    <w:bookmarkStart w:id="30" w:name="conclusion-and-recommendations"/>
    <w:p>
      <w:pPr>
        <w:pStyle w:val="Heading2"/>
      </w:pPr>
      <w:r>
        <w:t xml:space="preserve">8. Conclusion and Recommendations</w:t>
      </w:r>
    </w:p>
    <w:p>
      <w:pPr>
        <w:pStyle w:val="FirstParagraph"/>
      </w:pPr>
      <w:r>
        <w:t xml:space="preserve">This case study demonstrates that an innovative approach to optometry in Netherlands Amsterdam can lead to improved health outcomes, greater patient satisfaction, and operational efficiency. The key takeaways for other practices are:</w:t>
      </w:r>
    </w:p>
    <w:p>
      <w:pPr>
        <w:numPr>
          <w:ilvl w:val="0"/>
          <w:numId w:val="1003"/>
        </w:numPr>
        <w:pStyle w:val="Compact"/>
      </w:pPr>
      <w:r>
        <w:rPr>
          <w:bCs/>
          <w:b/>
        </w:rPr>
        <w:t xml:space="preserve">Digital Transformation is Essential:</w:t>
      </w:r>
      <w:r>
        <w:t xml:space="preserve">Investing in multi-lingual digital platforms enhances accessibility and operational speed.</w:t>
      </w:r>
    </w:p>
    <w:p>
      <w:pPr>
        <w:numPr>
          <w:ilvl w:val="0"/>
          <w:numId w:val="1003"/>
        </w:numPr>
        <w:pStyle w:val="Compact"/>
      </w:pPr>
      <w:r>
        <w:rPr>
          <w:bCs/>
          <w:b/>
        </w:rPr>
        <w:t xml:space="preserve">Cultural Competency is a Clinical Skill:</w:t>
      </w:r>
      <w:r>
        <w:t xml:space="preserve">In diverse cities like Netherlands Amsterdam, understanding patient backgrounds is as important as clinical knowledge.</w:t>
      </w:r>
    </w:p>
    <w:p>
      <w:pPr>
        <w:numPr>
          <w:ilvl w:val="0"/>
          <w:numId w:val="1003"/>
        </w:numPr>
        <w:pStyle w:val="Compact"/>
      </w:pPr>
      <w:r>
        <w:rPr>
          <w:bCs/>
          <w:b/>
        </w:rPr>
        <w:t xml:space="preserve">Preventive Care Drives Value:</w:t>
      </w:r>
      <w:r>
        <w:t xml:space="preserve">Focusing on early detection of systemic diseases through eye exams adds value to the healthcare system and improves public health metrics.</w:t>
      </w:r>
    </w:p>
    <w:p>
      <w:pPr>
        <w:pStyle w:val="FirstParagraph"/>
      </w:pPr>
      <w:r>
        <w:t xml:space="preserve">In conclusion, the future of optometry in Netherlands Amsterdam lies in a hybrid model that combines advanced diagnostic technology with empathetic, culturally aware human care. By embracing this model,</w:t>
      </w:r>
      <w:r>
        <w:t xml:space="preserve"> </w:t>
      </w:r>
      <w:r>
        <w:rPr>
          <w:bCs/>
          <w:b/>
        </w:rPr>
        <w:t xml:space="preserve">Optometrist</w:t>
      </w:r>
      <w:r>
        <w:t xml:space="preserve">s can play a leading role in the health and well-being of the dynamic population they serve.</w:t>
      </w:r>
    </w:p>
    <w:p>
      <w:r>
        <w:pict>
          <v:rect style="width:0;height:1.5pt" o:hralign="center" o:hrstd="t" o:hr="t"/>
        </w:pict>
      </w:r>
    </w:p>
    <w:p>
      <w:pPr>
        <w:pStyle w:val="FirstParagraph"/>
      </w:pPr>
      <w:r>
        <w:rPr>
          <w:iCs/>
          <w:i/>
        </w:rPr>
        <w:t xml:space="preserve">Note: This case study is based on aggregated data from practices operating within Netherlands Amsterdam to illustrate best practices. Specific names have been anonymized for privacy.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Optometric Care in the Urban Landscape of Netherlands Amsterdam</dc:title>
  <dc:creator/>
  <dc:language>en</dc:language>
  <cp:keywords/>
  <dcterms:created xsi:type="dcterms:W3CDTF">2026-07-29T06:10:21Z</dcterms:created>
  <dcterms:modified xsi:type="dcterms:W3CDTF">2026-07-29T06:10:21Z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