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of</w:t>
      </w:r>
      <w:r>
        <w:t xml:space="preserve"> </w:t>
      </w:r>
      <w:r>
        <w:t xml:space="preserve">Optometric</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2" w:name="X63e9e5e572857593c69696de49138ffb2b16ee5"/>
    <w:p>
      <w:pPr>
        <w:pStyle w:val="Heading1"/>
      </w:pPr>
      <w:r>
        <w:t xml:space="preserve">Case Study: Strategic Expansion of Optometric Services in Philippines Manila</w:t>
      </w:r>
    </w:p>
    <w:p>
      <w:pPr>
        <w:pStyle w:val="FirstParagraph"/>
      </w:pPr>
      <w:r>
        <w:rPr>
          <w:bCs/>
          <w:b/>
        </w:rPr>
        <w:t xml:space="preserve">Date:</w:t>
      </w:r>
      <w:r>
        <w:t xml:space="preserve"> </w:t>
      </w:r>
      <w:r>
        <w:t xml:space="preserve">October 2023</w:t>
      </w:r>
      <w:r>
        <w:br/>
      </w:r>
      <w:r>
        <w:rPr>
          <w:bCs/>
          <w:b/>
        </w:rPr>
        <w:t xml:space="preserve">Subject:</w:t>
      </w:r>
      <w:r>
        <w:t xml:space="preserve">The Evolution and Economic Viability of the Modern</w:t>
      </w:r>
      <w:r>
        <w:t xml:space="preserve"> </w:t>
      </w:r>
      <w:hyperlink w:anchor="optometrist">
        <w:r>
          <w:rPr>
            <w:rStyle w:val="Hyperlink"/>
          </w:rPr>
          <w:t xml:space="preserve">Optometrist</w:t>
        </w:r>
      </w:hyperlink>
      <w:r>
        <w:t xml:space="preserve"> </w:t>
      </w:r>
      <w:r>
        <w:t xml:space="preserve">Practice within the Urban Landscape of</w:t>
      </w:r>
      <w:r>
        <w:t xml:space="preserve"> </w:t>
      </w:r>
      <w:hyperlink w:anchor="location">
        <w:r>
          <w:rPr>
            <w:rStyle w:val="Hyperlink"/>
          </w:rPr>
          <w:t xml:space="preserve">Philippines Manila</w:t>
        </w:r>
      </w:hyperlink>
    </w:p>
    <w:bookmarkStart w:id="20" w:name="executive-summary"/>
    <w:p>
      <w:pPr>
        <w:pStyle w:val="Heading2"/>
      </w:pPr>
      <w:r>
        <w:t xml:space="preserve">1. Executive Summary</w:t>
      </w:r>
    </w:p>
    <w:p>
      <w:pPr>
        <w:pStyle w:val="FirstParagraph"/>
      </w:pPr>
      <w:r>
        <w:t xml:space="preserve">The Republic of the Philippines, specifically its capital city,</w:t>
      </w:r>
      <w:r>
        <w:t xml:space="preserve"> </w:t>
      </w:r>
      <w:r>
        <w:rPr>
          <w:bCs/>
          <w:b/>
        </w:rPr>
        <w:t xml:space="preserve">Philippines Manila</w:t>
      </w:r>
      <w:r>
        <w:t xml:space="preserve">, presents a unique and dynamic market for healthcare services. As one of the fastest-growing urban centers in Southeast Asia, Manila has experienced a demographic shift characterized by an increasing middle class, higher disposable incomes, and a growing awareness of preventive health measures. Within this context the role of the</w:t>
      </w:r>
      <w:r>
        <w:t xml:space="preserve"> </w:t>
      </w:r>
      <w:r>
        <w:rPr>
          <w:bCs/>
          <w:b/>
        </w:rPr>
        <w:t xml:space="preserve">Optometrist</w:t>
      </w:r>
      <w:r>
        <w:t xml:space="preserve"> </w:t>
      </w:r>
      <w:r>
        <w:t xml:space="preserve">has transcended traditional boundaries. This case study examines how modern optometric practices in</w:t>
      </w:r>
      <w:r>
        <w:t xml:space="preserve"> </w:t>
      </w:r>
      <w:r>
        <w:rPr>
          <w:bCs/>
          <w:b/>
        </w:rPr>
        <w:t xml:space="preserve">Philippines Manila</w:t>
      </w:r>
      <w:r>
        <w:t xml:space="preserve"> </w:t>
      </w:r>
      <w:r>
        <w:t xml:space="preserve">have adapted to local cultural nuances, technological demands, and regulatory frameworks to establish sustainable business models while improving public visual health outcomes.</w:t>
      </w:r>
    </w:p>
    <w:bookmarkEnd w:id="20"/>
    <w:bookmarkStart w:id="21" w:name="background"/>
    <w:p>
      <w:pPr>
        <w:pStyle w:val="Heading2"/>
      </w:pPr>
      <w:r>
        <w:t xml:space="preserve">2. Background and Context: The Landscape of Vision Care in Philippines Manila</w:t>
      </w:r>
    </w:p>
    <w:p>
      <w:pPr>
        <w:pStyle w:val="FirstParagraph"/>
      </w:pPr>
      <w:r>
        <w:t xml:space="preserve">Vision care in the</w:t>
      </w:r>
      <w:r>
        <w:t xml:space="preserve"> </w:t>
      </w:r>
      <w:r>
        <w:rPr>
          <w:bCs/>
          <w:b/>
        </w:rPr>
        <w:t xml:space="preserve">Philippines</w:t>
      </w:r>
      <w:r>
        <w:t xml:space="preserve"> </w:t>
      </w:r>
      <w:r>
        <w:t xml:space="preserve">has historically been dominated by optical shops that prioritize retail sales over clinical diagnosis. However, the landscape is shifting rapidly in</w:t>
      </w:r>
      <w:r>
        <w:t xml:space="preserve"> </w:t>
      </w:r>
      <w:r>
        <w:rPr>
          <w:bCs/>
          <w:b/>
        </w:rPr>
        <w:t xml:space="preserve">Manila</w:t>
      </w:r>
      <w:r>
        <w:t xml:space="preserve">. The dense urban population, combined with a high prevalence of digital device usage among students and professionals, has led to a surge in demand for comprehensive eye examinations. In major metropolitan areas like</w:t>
      </w:r>
      <w:r>
        <w:t xml:space="preserve"> </w:t>
      </w:r>
      <w:r>
        <w:rPr>
          <w:bCs/>
          <w:b/>
        </w:rPr>
        <w:t xml:space="preserve">Philippines Manila</w:t>
      </w:r>
      <w:r>
        <w:t xml:space="preserve">, the average individual spends over eight hours daily on screens, contributing to rising cases of digital eye strain, myopia in children, and age-related macular degeneration.</w:t>
      </w:r>
    </w:p>
    <w:p>
      <w:pPr>
        <w:pStyle w:val="BodyText"/>
      </w:pPr>
      <w:r>
        <w:t xml:space="preserve">The regulatory environment is governed by the Professional Regulation Commission (PRC) under Republic Act No. 9266, also known as The Optometry Law of 2004. This law strictly defines the scope of practice for an</w:t>
      </w:r>
      <w:r>
        <w:t xml:space="preserve"> </w:t>
      </w:r>
      <w:r>
        <w:rPr>
          <w:bCs/>
          <w:b/>
        </w:rPr>
        <w:t xml:space="preserve">Optometrist</w:t>
      </w:r>
      <w:r>
        <w:t xml:space="preserve">, emphasizing that only licensed professionals can perform refraction and diagnose ocular diseases. Despite these regulations, consumer education remains a challenge in certain demographics within</w:t>
      </w:r>
      <w:r>
        <w:t xml:space="preserve"> </w:t>
      </w:r>
      <w:r>
        <w:rPr>
          <w:bCs/>
          <w:b/>
        </w:rPr>
        <w:t xml:space="preserve">Philippines Manila</w:t>
      </w:r>
      <w:r>
        <w:t xml:space="preserve">, where many residents still confuse optical shop attendants with licensed medical optometrists.</w:t>
      </w:r>
    </w:p>
    <w:bookmarkEnd w:id="21"/>
    <w:bookmarkStart w:id="22" w:name="problem-statement"/>
    <w:p>
      <w:pPr>
        <w:pStyle w:val="Heading2"/>
      </w:pPr>
      <w:r>
        <w:t xml:space="preserve">3. Problem Statement</w:t>
      </w:r>
    </w:p>
    <w:p>
      <w:pPr>
        <w:pStyle w:val="FirstParagraph"/>
      </w:pPr>
      <w:r>
        <w:t xml:space="preserve">The primary challenge identified in this case study is the dichotomy between supply and quality of care. While there is a high density of optical outlets in</w:t>
      </w:r>
      <w:r>
        <w:t xml:space="preserve"> </w:t>
      </w:r>
      <w:r>
        <w:rPr>
          <w:bCs/>
          <w:b/>
        </w:rPr>
        <w:t xml:space="preserve">Philippines Manila</w:t>
      </w:r>
      <w:r>
        <w:t xml:space="preserve">, many lack clinical rigor. Patients often seek convenience over expertise, leading to misdiagnosed conditions or improperly fitted corrective lenses. Furthermore, there is a significant gap in pediatric vision care and the management of systemic diseases that manifest through ocular symptoms (such as diabetes and hypertension). The challenge for any new or expanding</w:t>
      </w:r>
      <w:r>
        <w:t xml:space="preserve"> </w:t>
      </w:r>
      <w:r>
        <w:rPr>
          <w:bCs/>
          <w:b/>
        </w:rPr>
        <w:t xml:space="preserve">Optometrist</w:t>
      </w:r>
      <w:r>
        <w:t xml:space="preserve"> </w:t>
      </w:r>
      <w:r>
        <w:t xml:space="preserve">practice in this region is threefold:</w:t>
      </w:r>
    </w:p>
    <w:p>
      <w:pPr>
        <w:numPr>
          <w:ilvl w:val="0"/>
          <w:numId w:val="1001"/>
        </w:numPr>
        <w:pStyle w:val="Compact"/>
      </w:pPr>
      <w:r>
        <w:rPr>
          <w:bCs/>
          <w:b/>
        </w:rPr>
        <w:t xml:space="preserve">Educational Barrier:</w:t>
      </w:r>
      <w:r>
        <w:t xml:space="preserve"> </w:t>
      </w:r>
      <w:r>
        <w:t xml:space="preserve">Convincing the public in</w:t>
      </w:r>
      <w:r>
        <w:t xml:space="preserve"> </w:t>
      </w:r>
      <w:r>
        <w:rPr>
          <w:bCs/>
          <w:b/>
        </w:rPr>
        <w:t xml:space="preserve">Philippines Manila</w:t>
      </w:r>
      <w:r>
        <w:br/>
      </w:r>
    </w:p>
    <w:p>
      <w:pPr>
        <w:numPr>
          <w:ilvl w:val="0"/>
          <w:numId w:val="1001"/>
        </w:numPr>
        <w:pStyle w:val="Compact"/>
      </w:pPr>
      <w:r>
        <w:rPr>
          <w:bCs/>
          <w:b/>
        </w:rPr>
        <w:t xml:space="preserve">Clinical Differentiation:</w:t>
      </w:r>
      <w:r>
        <w:t xml:space="preserve"> </w:t>
      </w:r>
      <w:r>
        <w:t xml:space="preserve">Establishing a practice that is viewed as a medical facility rather than merely a retail store for glasses.</w:t>
      </w:r>
    </w:p>
    <w:p>
      <w:pPr>
        <w:numPr>
          <w:ilvl w:val="0"/>
          <w:numId w:val="1001"/>
        </w:numPr>
        <w:pStyle w:val="Compact"/>
      </w:pPr>
      <w:r>
        <w:rPr>
          <w:bCs/>
          <w:b/>
        </w:rPr>
        <w:t xml:space="preserve">Operational Efficiency:</w:t>
      </w:r>
      <w:r>
        <w:t xml:space="preserve"> </w:t>
      </w:r>
      <w:r>
        <w:t xml:space="preserve">Managing overhead costs in high-rent districts of</w:t>
      </w:r>
      <w:r>
        <w:t xml:space="preserve"> </w:t>
      </w:r>
      <w:r>
        <w:rPr>
          <w:bCs/>
          <w:b/>
        </w:rPr>
        <w:t xml:space="preserve">Manila</w:t>
      </w:r>
    </w:p>
    <w:bookmarkEnd w:id="22"/>
    <w:bookmarkStart w:id="25" w:name="methodology"/>
    <w:p>
      <w:pPr>
        <w:pStyle w:val="Heading2"/>
      </w:pPr>
      <w:r>
        <w:t xml:space="preserve">4. Methodology: The Integrated Care Model</w:t>
      </w:r>
    </w:p>
    <w:p>
      <w:pPr>
        <w:pStyle w:val="FirstParagraph"/>
      </w:pPr>
      <w:r>
        <w:t xml:space="preserve">To address these challenges, this case study analyzes a hypothetical but representative "Flagship Practice" in Makati, a central business district within</w:t>
      </w:r>
      <w:r>
        <w:t xml:space="preserve"> </w:t>
      </w:r>
      <w:r>
        <w:rPr>
          <w:bCs/>
          <w:b/>
        </w:rPr>
        <w:t xml:space="preserve">Philippines Manila</w:t>
      </w:r>
      <w:r>
        <w:t xml:space="preserve">. This practice adopted an Integrated Care Model focusing on patient education, advanced technology integration, and community outreach.</w:t>
      </w:r>
    </w:p>
    <w:bookmarkStart w:id="23" w:name="optometrist"/>
    <w:p>
      <w:pPr>
        <w:pStyle w:val="Heading3"/>
      </w:pPr>
      <w:r>
        <w:t xml:space="preserve">4.1 The Role of the Modern Optometrist</w:t>
      </w:r>
    </w:p>
    <w:p>
      <w:pPr>
        <w:pStyle w:val="FirstParagraph"/>
      </w:pPr>
      <w:r>
        <w:t xml:space="preserve">In this model, the</w:t>
      </w:r>
      <w:r>
        <w:t xml:space="preserve"> </w:t>
      </w:r>
      <w:r>
        <w:rPr>
          <w:bCs/>
          <w:b/>
        </w:rPr>
        <w:t xml:space="preserve">Optometrist</w:t>
      </w:r>
      <w:r>
        <w:t xml:space="preserve"> </w:t>
      </w:r>
      <w:r>
        <w:t xml:space="preserve">is positioned as a primary eye care provider rather than a dispenser of eyewear. The practice emphasizes:</w:t>
      </w:r>
    </w:p>
    <w:p>
      <w:pPr>
        <w:numPr>
          <w:ilvl w:val="0"/>
          <w:numId w:val="1002"/>
        </w:numPr>
        <w:pStyle w:val="Compact"/>
      </w:pPr>
      <w:r>
        <w:rPr>
          <w:bCs/>
          <w:b/>
        </w:rPr>
        <w:t xml:space="preserve">Dilated Fundus Exams:</w:t>
      </w:r>
      <w:hyperlink w:anchor="optometrist">
        <w:r>
          <w:rPr>
            <w:rStyle w:val="Hyperlink"/>
          </w:rPr>
          <w:t xml:space="preserve">Optometrists</w:t>
        </w:r>
      </w:hyperlink>
      <w:r>
        <w:t xml:space="preserve">a are trained to detect early signs of glaucoma, diabetic retinopathy, and hypertensive retinopathy. This clinical depth differentiates the practice from retail competitors.</w:t>
      </w:r>
    </w:p>
    <w:p>
      <w:pPr>
        <w:numPr>
          <w:ilvl w:val="0"/>
          <w:numId w:val="1002"/>
        </w:numPr>
        <w:pStyle w:val="Compact"/>
      </w:pPr>
      <w:r>
        <w:rPr>
          <w:bCs/>
          <w:b/>
        </w:rPr>
        <w:t xml:space="preserve">Myopia Management:</w:t>
      </w:r>
      <w:r>
        <w:t xml:space="preserve"> </w:t>
      </w:r>
      <w:r>
        <w:t xml:space="preserve">Recognizing the high rates of myopia in schools across</w:t>
      </w:r>
      <w:r>
        <w:t xml:space="preserve"> </w:t>
      </w:r>
      <w:r>
        <w:rPr>
          <w:bCs/>
          <w:b/>
        </w:rPr>
        <w:t xml:space="preserve">Philippines Manila</w:t>
      </w:r>
      <w:r>
        <w:t xml:space="preserve">, the practice offers specialized contact lens therapies (such as orthokeratology) to slow progression in children, a service rarely available in standard optical shops.</w:t>
      </w:r>
    </w:p>
    <w:p>
      <w:pPr>
        <w:numPr>
          <w:ilvl w:val="0"/>
          <w:numId w:val="1002"/>
        </w:numPr>
        <w:pStyle w:val="Compact"/>
      </w:pPr>
      <w:r>
        <w:rPr>
          <w:bCs/>
          <w:b/>
        </w:rPr>
        <w:t xml:space="preserve">Digital Health Records:</w:t>
      </w:r>
      <w:r>
        <w:t xml:space="preserve"> </w:t>
      </w:r>
      <w:r>
        <w:t xml:space="preserve">Implementing cloud-based systems allows for continuous monitoring of patients’ eye health over time, fostering long-term relationships rather than transactional interactions.</w:t>
      </w:r>
    </w:p>
    <w:bookmarkEnd w:id="23"/>
    <w:bookmarkStart w:id="24" w:name="location"/>
    <w:p>
      <w:pPr>
        <w:pStyle w:val="Heading3"/>
      </w:pPr>
      <w:r>
        <w:t xml:space="preserve">4.2 Localization Strategy in Philippines Manila</w:t>
      </w:r>
    </w:p>
    <w:p>
      <w:pPr>
        <w:pStyle w:val="FirstParagraph"/>
      </w:pPr>
      <w:r>
        <w:t xml:space="preserve">The expansion strategy was deeply rooted in the local context of</w:t>
      </w:r>
      <w:r>
        <w:t xml:space="preserve"> </w:t>
      </w:r>
      <w:r>
        <w:rPr>
          <w:bCs/>
          <w:b/>
        </w:rPr>
        <w:t xml:space="preserve">Philippines Manila</w:t>
      </w:r>
      <w:r>
        <w:t xml:space="preserve">. Key adaptations included:</w:t>
      </w:r>
    </w:p>
    <w:p>
      <w:pPr>
        <w:numPr>
          <w:ilvl w:val="0"/>
          <w:numId w:val="1003"/>
        </w:numPr>
        <w:pStyle w:val="Compact"/>
      </w:pPr>
      <w:r>
        <w:rPr>
          <w:bCs/>
          <w:b/>
        </w:rPr>
        <w:t xml:space="preserve">Cultural Sensitivity and Communication:</w:t>
      </w:r>
      <w:r>
        <w:t xml:space="preserve">All patient interactions were conducted in a mix of English and Tagalog to ensure accessibility. The staff underwent training on Filipino hospitality standards, creating a welcoming environment that respects the hierarchical yet communal nature of Filipino society.</w:t>
      </w:r>
    </w:p>
    <w:p>
      <w:pPr>
        <w:numPr>
          <w:ilvl w:val="0"/>
          <w:numId w:val="1003"/>
        </w:numPr>
        <w:pStyle w:val="Compact"/>
      </w:pPr>
      <w:r>
        <w:rPr>
          <w:bCs/>
          <w:b/>
        </w:rPr>
        <w:t xml:space="preserve">Affordable Tiered Pricing:</w:t>
      </w:r>
      <w:r>
        <w:t xml:space="preserve"> </w:t>
      </w:r>
      <w:r>
        <w:t xml:space="preserve">Recognizing the economic disparity in</w:t>
      </w:r>
      <w:r>
        <w:t xml:space="preserve"> </w:t>
      </w:r>
      <w:r>
        <w:rPr>
          <w:bCs/>
          <w:b/>
        </w:rPr>
        <w:t xml:space="preserve">Manila</w:t>
      </w:r>
      <w:r>
        <w:t xml:space="preserve">, the practice introduced tiered pricing for eyewear. This allowed low-income patients to access basic corrective lenses while offering premium, customizable options for high-net-worth individuals and expatriates.</w:t>
      </w:r>
    </w:p>
    <w:p>
      <w:pPr>
        <w:numPr>
          <w:ilvl w:val="0"/>
          <w:numId w:val="1003"/>
        </w:numPr>
        <w:pStyle w:val="Compact"/>
      </w:pPr>
      <w:r>
        <w:rPr>
          <w:bCs/>
          <w:b/>
        </w:rPr>
        <w:t xml:space="preserve">Community Outreach Programs:</w:t>
      </w:r>
      <w:r>
        <w:t xml:space="preserve">The practice partnered with local barangays (neighborhoods) in</w:t>
      </w:r>
      <w:r>
        <w:t xml:space="preserve"> </w:t>
      </w:r>
      <w:r>
        <w:rPr>
          <w:bCs/>
          <w:b/>
        </w:rPr>
        <w:t xml:space="preserve">Philippines Manila</w:t>
      </w:r>
      <w:r>
        <w:t xml:space="preserve"> </w:t>
      </w:r>
      <w:r>
        <w:t xml:space="preserve">to provide free vision screening camps. These events served dual purposes: improving public health in underserved areas and building brand trust within the community.</w:t>
      </w:r>
    </w:p>
    <w:bookmarkEnd w:id="24"/>
    <w:bookmarkEnd w:id="25"/>
    <w:bookmarkStart w:id="28" w:name="results"/>
    <w:p>
      <w:pPr>
        <w:pStyle w:val="Heading2"/>
      </w:pPr>
      <w:r>
        <w:t xml:space="preserve">5. Results and Analysis</w:t>
      </w:r>
    </w:p>
    <w:p>
      <w:pPr>
        <w:pStyle w:val="FirstParagraph"/>
      </w:pPr>
      <w:r>
        <w:t xml:space="preserve">After twenty-four months of operation, the practice demonstrated significant success metrics that highlight the viability of specialized</w:t>
      </w:r>
      <w:r>
        <w:t xml:space="preserve"> </w:t>
      </w:r>
      <w:r>
        <w:rPr>
          <w:bCs/>
          <w:b/>
        </w:rPr>
        <w:t xml:space="preserve">Optometrist</w:t>
      </w:r>
      <w:r>
        <w:t xml:space="preserve"> </w:t>
      </w:r>
      <w:r>
        <w:t xml:space="preserve">services in</w:t>
      </w:r>
      <w:r>
        <w:t xml:space="preserve"> </w:t>
      </w:r>
      <w:r>
        <w:rPr>
          <w:bCs/>
          <w:b/>
        </w:rPr>
        <w:t xml:space="preserve">Philippines Manila</w:t>
      </w:r>
      <w:r>
        <w:t xml:space="preserve">.</w:t>
      </w:r>
    </w:p>
    <w:bookmarkStart w:id="26" w:name="quantitative-results"/>
    <w:p>
      <w:pPr>
        <w:pStyle w:val="Heading3"/>
      </w:pPr>
      <w:r>
        <w:t xml:space="preserve">5.1 Quantitative Outcomes</w:t>
      </w:r>
    </w:p>
    <w:p>
      <w:pPr>
        <w:numPr>
          <w:ilvl w:val="0"/>
          <w:numId w:val="1004"/>
        </w:numPr>
        <w:pStyle w:val="Compact"/>
      </w:pPr>
      <w:r>
        <w:rPr>
          <w:bCs/>
          <w:b/>
        </w:rPr>
        <w:t xml:space="preserve">Patient Volume:</w:t>
      </w:r>
      <w:r>
        <w:t xml:space="preserve">An average of 25 patients per day, with a peak during weekends and school holidays.</w:t>
      </w:r>
    </w:p>
    <w:p>
      <w:pPr>
        <w:numPr>
          <w:ilvl w:val="0"/>
          <w:numId w:val="1004"/>
        </w:numPr>
        <w:pStyle w:val="Compact"/>
      </w:pPr>
      <w:r>
        <w:rPr>
          <w:bCs/>
          <w:b/>
        </w:rPr>
        <w:t xml:space="preserve">Diagnostic Yield:</w:t>
      </w:r>
      <w:r>
        <w:t xml:space="preserve">The practice identified previously undiagnosed cases of diabetes-related retinopathy in approximately 8% of adult patients referred for routine exams. These referrals led to early medical intervention, underscoring the critical role of the</w:t>
      </w:r>
      <w:r>
        <w:t xml:space="preserve"> </w:t>
      </w:r>
      <w:r>
        <w:rPr>
          <w:bCs/>
          <w:b/>
        </w:rPr>
        <w:t xml:space="preserve">Optometrist</w:t>
      </w:r>
      <w:r>
        <w:t xml:space="preserve"> </w:t>
      </w:r>
      <w:r>
        <w:t xml:space="preserve">in systemic health.</w:t>
      </w:r>
    </w:p>
    <w:p>
      <w:pPr>
        <w:numPr>
          <w:ilvl w:val="0"/>
          <w:numId w:val="1004"/>
        </w:numPr>
        <w:pStyle w:val="Compact"/>
      </w:pPr>
      <w:r>
        <w:rPr>
          <w:bCs/>
          <w:b/>
        </w:rPr>
        <w:t xml:space="preserve">Patient Retention:</w:t>
      </w:r>
      <w:r>
        <w:t xml:space="preserve">A 65% return rate for follow-up visits within one year, indicating high patient satisfaction and trust in the clinical expertise provided.</w:t>
      </w:r>
    </w:p>
    <w:bookmarkEnd w:id="26"/>
    <w:bookmarkStart w:id="27" w:name="qualitative-results"/>
    <w:p>
      <w:pPr>
        <w:pStyle w:val="Heading3"/>
      </w:pPr>
      <w:r>
        <w:t xml:space="preserve">5.2 Qualitative Impact</w:t>
      </w:r>
    </w:p>
    <w:p>
      <w:pPr>
        <w:pStyle w:val="FirstParagraph"/>
      </w:pPr>
      <w:r>
        <w:t xml:space="preserve">Patient feedback highlighted the value of personalized care. Many patients in</w:t>
      </w:r>
      <w:r>
        <w:t xml:space="preserve"> </w:t>
      </w:r>
      <w:r>
        <w:rPr>
          <w:bCs/>
          <w:b/>
        </w:rPr>
        <w:t xml:space="preserve">Philippines Manila</w:t>
      </w:r>
      <w:r>
        <w:t xml:space="preserve"> </w:t>
      </w:r>
      <w:r>
        <w:t xml:space="preserve">reported that they had never received an explanation for their eye conditions before, leading to anxiety and misunderstanding. The educational approach adopted by the practice alleviated these fears and empowered patients to take ownership of their visual health.</w:t>
      </w:r>
    </w:p>
    <w:p>
      <w:pPr>
        <w:pStyle w:val="BodyText"/>
      </w:pPr>
      <w:r>
        <w:t xml:space="preserve">Furthermore, the community outreach programs enhanced the brand’s reputation as a socially responsible entity. In</w:t>
      </w:r>
      <w:r>
        <w:t xml:space="preserve"> </w:t>
      </w:r>
      <w:r>
        <w:rPr>
          <w:bCs/>
          <w:b/>
        </w:rPr>
        <w:t xml:space="preserve">Philippines Manila</w:t>
      </w:r>
      <w:r>
        <w:t xml:space="preserve">, where corporate social responsibility is increasingly valued by consumers, this goodwill translated into positive word-of-mouth marketing, which is often more effective than traditional advertising in Filipino culture.</w:t>
      </w:r>
    </w:p>
    <w:bookmarkEnd w:id="27"/>
    <w:bookmarkEnd w:id="28"/>
    <w:bookmarkStart w:id="29" w:name="challenges"/>
    <w:p>
      <w:pPr>
        <w:pStyle w:val="Heading2"/>
      </w:pPr>
      <w:r>
        <w:t xml:space="preserve">6. Challenges and Mitigation Strategies</w:t>
      </w:r>
    </w:p>
    <w:p>
      <w:pPr>
        <w:pStyle w:val="FirstParagraph"/>
      </w:pPr>
      <w:r>
        <w:t xml:space="preserve">Despite the success, several challenges persisted:</w:t>
      </w:r>
    </w:p>
    <w:p>
      <w:pPr>
        <w:numPr>
          <w:ilvl w:val="0"/>
          <w:numId w:val="1005"/>
        </w:numPr>
        <w:pStyle w:val="Compact"/>
      </w:pPr>
      <w:r>
        <w:rPr>
          <w:bCs/>
          <w:b/>
        </w:rPr>
        <w:t xml:space="preserve">Traffic and Accessibility:</w:t>
      </w:r>
      <w:r>
        <w:t xml:space="preserve">Traffic congestion in</w:t>
      </w:r>
      <w:r>
        <w:t xml:space="preserve"> </w:t>
      </w:r>
      <w:r>
        <w:rPr>
          <w:bCs/>
          <w:b/>
        </w:rPr>
        <w:t xml:space="preserve">Manila</w:t>
      </w:r>
      <w:r>
        <w:br/>
      </w:r>
    </w:p>
    <w:p>
      <w:pPr>
        <w:numPr>
          <w:ilvl w:val="0"/>
          <w:numId w:val="1005"/>
        </w:numPr>
        <w:pStyle w:val="Compact"/>
      </w:pPr>
      <w:r>
        <w:rPr>
          <w:bCs/>
          <w:b/>
        </w:rPr>
        <w:t xml:space="preserve">Regulatory Compliance:</w:t>
      </w:r>
      <w:r>
        <w:t xml:space="preserve">Navigating the strict regulations of the PRC requires constant vigilance regarding scope of practice. Regular continuing education units (CEUs) were mandated for all staff to ensure compliance and professional growth.</w:t>
      </w:r>
    </w:p>
    <w:p>
      <w:pPr>
        <w:numPr>
          <w:ilvl w:val="0"/>
          <w:numId w:val="1005"/>
        </w:numPr>
        <w:pStyle w:val="Compact"/>
      </w:pPr>
      <w:r>
        <w:rPr>
          <w:bCs/>
          <w:b/>
        </w:rPr>
        <w:t xml:space="preserve">Competition from Retail Giants:</w:t>
      </w:r>
      <w:r>
        <w:t xml:space="preserve">Large chain stores in malls across</w:t>
      </w:r>
      <w:r>
        <w:t xml:space="preserve"> </w:t>
      </w:r>
      <w:r>
        <w:rPr>
          <w:bCs/>
          <w:b/>
        </w:rPr>
        <w:t xml:space="preserve">Philippines Manila</w:t>
      </w:r>
      <w:r>
        <w:t xml:space="preserve"> </w:t>
      </w:r>
      <w:r>
        <w:t xml:space="preserve">compete on price. The practice countered this by emphasizing quality, clinical accuracy, and specialized services (like contact lens fitting) that retail chains cannot adequately provide.</w:t>
      </w:r>
    </w:p>
    <w:bookmarkEnd w:id="29"/>
    <w:bookmarkStart w:id="30" w:name="conclusion"/>
    <w:p>
      <w:pPr>
        <w:pStyle w:val="Heading2"/>
      </w:pPr>
      <w:r>
        <w:t xml:space="preserve">7. Conclusion</w:t>
      </w:r>
    </w:p>
    <w:p>
      <w:pPr>
        <w:pStyle w:val="FirstParagraph"/>
      </w:pPr>
      <w:r>
        <w:t xml:space="preserve">This case study illustrates that the role of an</w:t>
      </w:r>
      <w:r>
        <w:t xml:space="preserve"> </w:t>
      </w:r>
      <w:r>
        <w:rPr>
          <w:bCs/>
          <w:b/>
        </w:rPr>
        <w:t xml:space="preserve">Optometrist</w:t>
      </w:r>
      <w:r>
        <w:t xml:space="preserve"> </w:t>
      </w:r>
      <w:r>
        <w:t xml:space="preserve">in</w:t>
      </w:r>
      <w:r>
        <w:t xml:space="preserve"> </w:t>
      </w:r>
      <w:r>
        <w:rPr>
          <w:bCs/>
          <w:b/>
        </w:rPr>
        <w:t xml:space="preserve">Philippines Manila</w:t>
      </w:r>
      <w:r>
        <w:t xml:space="preserve">Philippines Manila, the key to success lies not only in offering high-quality optical products but also in delivering superior medical care that addresses the specific needs of a diverse and digitally engaged population.</w:t>
      </w:r>
    </w:p>
    <w:p>
      <w:pPr>
        <w:pStyle w:val="BodyText"/>
      </w:pPr>
      <w:r>
        <w:t xml:space="preserve">The future of optometry in this region is promising. As awareness grows and technology becomes more accessible, the</w:t>
      </w:r>
      <w:r>
        <w:t xml:space="preserve"> </w:t>
      </w:r>
      <w:r>
        <w:rPr>
          <w:bCs/>
          <w:b/>
        </w:rPr>
        <w:t xml:space="preserve">Optometrist</w:t>
      </w:r>
      <w:r>
        <w:t xml:space="preserve">Philippines Manila. Stakeholders in healthcare policy, education, and private practice must collaborate to further standardize care standards and ensure that every Filipino has access to professional optometric services.</w:t>
      </w:r>
    </w:p>
    <w:bookmarkEnd w:id="30"/>
    <w:bookmarkStart w:id="31" w:name="recommendations"/>
    <w:p>
      <w:pPr>
        <w:pStyle w:val="Heading2"/>
      </w:pPr>
      <w:r>
        <w:t xml:space="preserve">8. Recommendations</w:t>
      </w:r>
    </w:p>
    <w:p>
      <w:pPr>
        <w:numPr>
          <w:ilvl w:val="0"/>
          <w:numId w:val="1006"/>
        </w:numPr>
        <w:pStyle w:val="Compact"/>
      </w:pPr>
      <w:r>
        <w:rPr>
          <w:bCs/>
          <w:b/>
        </w:rPr>
        <w:t xml:space="preserve">Enhance Public Awareness Campaigns:</w:t>
      </w:r>
      <w:r>
        <w:t xml:space="preserve">Leverage social media platforms popular in</w:t>
      </w:r>
      <w:r>
        <w:t xml:space="preserve"> </w:t>
      </w:r>
      <w:r>
        <w:rPr>
          <w:bCs/>
          <w:b/>
        </w:rPr>
        <w:t xml:space="preserve">Philippines Manila</w:t>
      </w:r>
      <w:r>
        <w:t xml:space="preserve">, such as Facebook and TikTok, to educate the public on the difference between optical shops and licensed optometry clinics.</w:t>
      </w:r>
    </w:p>
    <w:p>
      <w:pPr>
        <w:numPr>
          <w:ilvl w:val="0"/>
          <w:numId w:val="1006"/>
        </w:numPr>
        <w:pStyle w:val="Compact"/>
      </w:pPr>
      <w:r>
        <w:rPr>
          <w:bCs/>
          <w:b/>
        </w:rPr>
        <w:t xml:space="preserve">Expand Tele-Optometry Services:</w:t>
      </w:r>
      <w:r>
        <w:t xml:space="preserve">Invest in digital infrastructure to provide remote consultations, reducing the burden of travel for patients in congested areas.</w:t>
      </w:r>
    </w:p>
    <w:p>
      <w:pPr>
        <w:numPr>
          <w:ilvl w:val="0"/>
          <w:numId w:val="1006"/>
        </w:numPr>
        <w:pStyle w:val="Compact"/>
      </w:pPr>
      <w:r>
        <w:rPr>
          <w:bCs/>
          <w:b/>
        </w:rPr>
        <w:t xml:space="preserve">Strengthen Partnerships with Schools:</w:t>
      </w:r>
      <w:r>
        <w:t xml:space="preserve">Collaborate with educational institutions to implement mandatory vision screening programs, ensuring early detection of visual impairments among students.</w:t>
      </w:r>
    </w:p>
    <w:p>
      <w:pPr>
        <w:numPr>
          <w:ilvl w:val="0"/>
          <w:numId w:val="1006"/>
        </w:numPr>
        <w:pStyle w:val="Compact"/>
      </w:pPr>
      <w:r>
        <w:rPr>
          <w:bCs/>
          <w:b/>
        </w:rPr>
        <w:t xml:space="preserve">Promote Continuous Professional Development:</w:t>
      </w:r>
      <w:r>
        <w:t xml:space="preserve">Encourage all</w:t>
      </w:r>
      <w:r>
        <w:t xml:space="preserve"> </w:t>
      </w:r>
      <w:hyperlink w:anchor="optometrist">
        <w:r>
          <w:rPr>
            <w:rStyle w:val="Hyperlink"/>
          </w:rPr>
          <w:t xml:space="preserve">Optometrists</w:t>
        </w:r>
      </w:hyperlink>
      <w:r>
        <w:t xml:space="preserve">a in the region to pursue advanced certifications in specialized fields such as pediatric optometry and low vision rehabilitation.</w:t>
      </w:r>
    </w:p>
    <w:p>
      <w:pPr>
        <w:pStyle w:val="FirstParagraph"/>
      </w:pPr>
      <w:r>
        <w:t xml:space="preserve">© 2023 Healthcare Strategy Review. All rights reserved. This document is for informational purposes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of Optometric Services in Philippines Manila</dc:title>
  <dc:creator/>
  <dc:language>en</dc:language>
  <cp:keywords/>
  <dcterms:created xsi:type="dcterms:W3CDTF">2026-07-29T08:27:33Z</dcterms:created>
  <dcterms:modified xsi:type="dcterms:W3CDTF">2026-07-29T08:27:33Z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