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Qatar</w:t>
      </w:r>
      <w:r>
        <w:t xml:space="preserve"> </w:t>
      </w:r>
      <w:r>
        <w:t xml:space="preserve">Doha</w:t>
      </w:r>
    </w:p>
    <w:bookmarkStart w:id="31" w:name="X20cb22deb855b6ea104d9563e9eab95292ce13d"/>
    <w:p>
      <w:pPr>
        <w:pStyle w:val="Heading1"/>
      </w:pPr>
      <w:r>
        <w:t xml:space="preserve">Case Study: Strategic Implementation of Advanced Optometry Services in Qatar Doha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rPr>
          <w:bCs/>
          <w:b/>
        </w:rPr>
        <w:t xml:space="preserve">Tech Stack Used in Study:</w:t>
      </w:r>
      <w:r>
        <w:br/>
      </w:r>
      <w:r>
        <w:t xml:space="preserve">Ophthalmic Imaging, AI Diagnostics, Digital Health Records.</w:t>
      </w:r>
    </w:p>
    <w:bookmarkStart w:id="20" w:name="executive-summary"/>
    <w:p>
      <w:pPr>
        <w:pStyle w:val="Heading2"/>
      </w:pPr>
      <w:r>
        <w:t xml:space="preserve">1. Executive Summary</w:t>
      </w:r>
    </w:p>
    <w:p>
      <w:pPr>
        <w:pStyle w:val="FirstParagraph"/>
      </w:pPr>
      <w:r>
        <w:t xml:space="preserve">This Case Study examines the rapid evolution of eye care standards and the critical role of the</w:t>
      </w:r>
      <w:r>
        <w:t xml:space="preserve"> </w:t>
      </w:r>
      <w:r>
        <w:rPr>
          <w:bCs/>
          <w:b/>
        </w:rPr>
        <w:t xml:space="preserve">Optometrist</w:t>
      </w:r>
      <w:r>
        <w:t xml:space="preserve"> </w:t>
      </w:r>
      <w:r>
        <w:t xml:space="preserve">within the unique healthcare ecosystem of</w:t>
      </w:r>
      <w:r>
        <w:t xml:space="preserve"> </w:t>
      </w:r>
      <w:r>
        <w:rPr>
          <w:bCs/>
          <w:b/>
        </w:rPr>
        <w:t xml:space="preserve">Qatar Doha</w:t>
      </w:r>
      <w:r>
        <w:t xml:space="preserve">. As part of Qatar National Vision 2030, there has been a significant push toward modernizing healthcare infrastructure to meet international benchmarks. This document analyzes how integrating advanced diagnostic technology with patient-centric care models has allowed leading practices in</w:t>
      </w:r>
      <w:r>
        <w:t xml:space="preserve"> </w:t>
      </w:r>
      <w:r>
        <w:rPr>
          <w:bCs/>
          <w:b/>
        </w:rPr>
        <w:t xml:space="preserve">Qatar Doha</w:t>
      </w:r>
      <w:r>
        <w:t xml:space="preserve"> </w:t>
      </w:r>
      <w:r>
        <w:t xml:space="preserve">to elevate the standard of optometric services. The study highlights the transition from traditional vision correction to comprehensive ocular health management, emphasizing the importance of early detection for conditions such as diabetic retinopathy and glaucoma.</w:t>
      </w:r>
    </w:p>
    <w:bookmarkEnd w:id="20"/>
    <w:bookmarkStart w:id="21" w:name="Xaec73d0078726b29ee4fb07d46a08d24a786945"/>
    <w:p>
      <w:pPr>
        <w:pStyle w:val="Heading2"/>
      </w:pPr>
      <w:r>
        <w:t xml:space="preserve">2. Background and Context: The Landscape in Qatar Doha</w:t>
      </w:r>
    </w:p>
    <w:p>
      <w:pPr>
        <w:pStyle w:val="FirstParagraph"/>
      </w:pPr>
      <w:r>
        <w:rPr>
          <w:bCs/>
          <w:b/>
        </w:rPr>
        <w:t xml:space="preserve">Qatar Doha</w:t>
      </w:r>
      <w:r>
        <w:t xml:space="preserve">, the capital city of the State of Qatar, has experienced unprecedented economic growth and urbanization over the past decade. This demographic shift has resulted in a highly diverse population comprising expatriates from over 100 nations alongside Qatari nationals. This diversity presents a specific challenge for healthcare providers, requiring culturally competent care that addresses varied genetic predispositions to eye diseases.</w:t>
      </w:r>
    </w:p>
    <w:p>
      <w:pPr>
        <w:pStyle w:val="BodyText"/>
      </w:pPr>
      <w:r>
        <w:t xml:space="preserve">In recent years, the prevalence of lifestyle-related ocular conditions has risen sharply in</w:t>
      </w:r>
      <w:r>
        <w:t xml:space="preserve"> </w:t>
      </w:r>
      <w:r>
        <w:rPr>
          <w:bCs/>
          <w:b/>
        </w:rPr>
        <w:t xml:space="preserve">Qatar Doha</w:t>
      </w:r>
      <w:r>
        <w:t xml:space="preserve">. Factors such as extended screen time among the youth, high rates of diabetes mellitus (which significantly increases the risk of diabetic retinopathy), and exposure to harsh desert sunlight have created a pressing need for proactive eye care. Consequently, the demand for skilled</w:t>
      </w:r>
      <w:r>
        <w:t xml:space="preserve"> </w:t>
      </w:r>
      <w:r>
        <w:rPr>
          <w:bCs/>
          <w:b/>
        </w:rPr>
        <w:t xml:space="preserve">Optometrist</w:t>
      </w:r>
      <w:r>
        <w:t xml:space="preserve"> </w:t>
      </w:r>
      <w:r>
        <w:t xml:space="preserve">professionals who can provide not just prescriptions but also preventive health education has surged.</w:t>
      </w:r>
    </w:p>
    <w:bookmarkEnd w:id="21"/>
    <w:bookmarkStart w:id="22" w:name="problem-statement"/>
    <w:p>
      <w:pPr>
        <w:pStyle w:val="Heading2"/>
      </w:pPr>
      <w:r>
        <w:t xml:space="preserve">3. Problem Statement</w:t>
      </w:r>
    </w:p>
    <w:p>
      <w:pPr>
        <w:pStyle w:val="FirstParagraph"/>
      </w:pPr>
      <w:r>
        <w:t xml:space="preserve">The primary challenge identified in this case study is the gap between traditional optometric services and the expectations of a modern, tech-savvy population in</w:t>
      </w:r>
      <w:r>
        <w:t xml:space="preserve"> </w:t>
      </w:r>
      <w:r>
        <w:rPr>
          <w:bCs/>
          <w:b/>
        </w:rPr>
        <w:t xml:space="preserve">Qatar Doha</w:t>
      </w:r>
      <w:r>
        <w:t xml:space="preserve">. Historically, many clinics operated on a reactive model—treating patients only when they presented with complaints. However, data from local health authorities indicated that late diagnoses of sight-threatening conditions were still occurring. Furthermore, there was an opportunity to leverage digital transformation to streamline the patient journey and reduce wait times in busy metropolitan centers.</w:t>
      </w:r>
    </w:p>
    <w:bookmarkEnd w:id="22"/>
    <w:bookmarkStart w:id="23" w:name="objectives"/>
    <w:p>
      <w:pPr>
        <w:pStyle w:val="Heading2"/>
      </w:pPr>
      <w:r>
        <w:t xml:space="preserve">4. Objectives</w:t>
      </w:r>
    </w:p>
    <w:p>
      <w:pPr>
        <w:pStyle w:val="FirstParagraph"/>
      </w:pPr>
      <w:r>
        <w:t xml:space="preserve">The implementation project aimed to achieve the following objectives:</w:t>
      </w:r>
    </w:p>
    <w:p>
      <w:pPr>
        <w:numPr>
          <w:ilvl w:val="0"/>
          <w:numId w:val="1001"/>
        </w:numPr>
        <w:pStyle w:val="Compact"/>
      </w:pPr>
      <w:r>
        <w:rPr>
          <w:bCs/>
          <w:b/>
        </w:rPr>
        <w:t xml:space="preserve">Elevate Diagnostic Capabilities:</w:t>
      </w:r>
      <w:r>
        <w:t xml:space="preserve"> </w:t>
      </w:r>
      <w:r>
        <w:t xml:space="preserve">Introduce cutting-edge imaging technology (OCT and Wide-field Fundus Photography) to ensure early detection of pathologies.</w:t>
      </w:r>
    </w:p>
    <w:p>
      <w:pPr>
        <w:numPr>
          <w:ilvl w:val="0"/>
          <w:numId w:val="1001"/>
        </w:numPr>
        <w:pStyle w:val="Compact"/>
      </w:pPr>
      <w:r>
        <w:rPr>
          <w:bCs/>
          <w:b/>
        </w:rPr>
        <w:t xml:space="preserve">Cultural Integration in Care:</w:t>
      </w:r>
      <w:r>
        <w:t xml:space="preserve"> </w:t>
      </w:r>
      <w:r>
        <w:t xml:space="preserve">Train the</w:t>
      </w:r>
      <w:r>
        <w:t xml:space="preserve"> </w:t>
      </w:r>
      <w:r>
        <w:rPr>
          <w:bCs/>
          <w:b/>
        </w:rPr>
        <w:t xml:space="preserve">Optometrist</w:t>
      </w:r>
      <w:r>
        <w:t xml:space="preserve"> </w:t>
      </w:r>
      <w:r>
        <w:t xml:space="preserve">staff in cross-cultural communication to serve the multicultural demographic of</w:t>
      </w:r>
      <w:r>
        <w:t xml:space="preserve"> </w:t>
      </w:r>
      <w:r>
        <w:rPr>
          <w:bCs/>
          <w:b/>
        </w:rPr>
        <w:t xml:space="preserve">Qatar Doha</w:t>
      </w:r>
      <w:r>
        <w:t xml:space="preserve">.</w:t>
      </w:r>
    </w:p>
    <w:p>
      <w:pPr>
        <w:numPr>
          <w:ilvl w:val="0"/>
          <w:numId w:val="1001"/>
        </w:numPr>
        <w:pStyle w:val="Compact"/>
      </w:pPr>
      <w:r>
        <w:rPr>
          <w:bCs/>
          <w:b/>
        </w:rPr>
        <w:t xml:space="preserve">Digital Transformation:</w:t>
      </w:r>
    </w:p>
    <w:p>
      <w:pPr>
        <w:numPr>
          <w:ilvl w:val="0"/>
          <w:numId w:val="1001"/>
        </w:numPr>
        <w:pStyle w:val="Compact"/>
      </w:pPr>
      <w:r>
        <w:rPr>
          <w:bCs/>
          <w:b/>
        </w:rPr>
        <w:t xml:space="preserve">Awareness Campaigns:</w:t>
      </w:r>
      <w:r>
        <w:t xml:space="preserve">: Launch community outreach programs specifically targeting diabetic patients in &lt; strong &gt;Qatar Doha for regular retinal screenings.</w:t>
      </w:r>
    </w:p>
    <w:bookmarkEnd w:id="23"/>
    <w:bookmarkStart w:id="27" w:name="methodology-and-implementation"/>
    <w:p>
      <w:pPr>
        <w:pStyle w:val="Heading2"/>
      </w:pPr>
      <w:r>
        <w:t xml:space="preserve">5. Methodology and Implementation</w:t>
      </w:r>
    </w:p>
    <w:bookmarkStart w:id="24" w:name="technological-integration"/>
    <w:p>
      <w:pPr>
        <w:pStyle w:val="Heading3"/>
      </w:pPr>
      <w:r>
        <w:t xml:space="preserve">5.1 Technological Integration</w:t>
      </w:r>
    </w:p>
    <w:p>
      <w:pPr>
        <w:pStyle w:val="FirstParagraph"/>
      </w:pPr>
      <w:r>
        <w:t xml:space="preserve">The core of the strategy involved upgrading the clinical toolkit available to every practicing</w:t>
      </w:r>
    </w:p>
    <w:p>
      <w:pPr>
        <w:pStyle w:val="BodyText"/>
      </w:pPr>
      <w:r>
        <w:t xml:space="preserve">Optometrist in the pilot clinics across &lt; strong &gt;Qatar Doha. By equipping staff with Optical Coherence Tomography (OCT) devices, practitioners could capture cross-sectional images of the retina. This allowed for precise monitoring of glaucoma progression and macular degeneration without invasive procedures.</w:t>
      </w:r>
    </w:p>
    <w:bookmarkEnd w:id="24"/>
    <w:bookmarkStart w:id="25" w:name="professional-development"/>
    <w:p>
      <w:pPr>
        <w:pStyle w:val="Heading3"/>
      </w:pPr>
      <w:r>
        <w:t xml:space="preserve">5.2 Professional Development</w:t>
      </w:r>
    </w:p>
    <w:p>
      <w:pPr>
        <w:pStyle w:val="FirstParagraph"/>
      </w:pPr>
      <w:r>
        <w:t xml:space="preserve">A significant portion of the budget was allocated to continuous professional development (CPD). The &lt; strong &gt;Optometrist teams underwent rigorous training on interpreting complex diagnostic data and communicating findings effectively to patients from diverse linguistic backgrounds. This was crucial in ensuring that non-Qatari residents, who make up a majority of the population, felt understood and cared for.</w:t>
      </w:r>
    </w:p>
    <w:bookmarkEnd w:id="25"/>
    <w:bookmarkStart w:id="26" w:name="community-engagement"/>
    <w:p>
      <w:pPr>
        <w:pStyle w:val="Heading3"/>
      </w:pPr>
      <w:r>
        <w:t xml:space="preserve">5.3 Community Engagement</w:t>
      </w:r>
    </w:p>
    <w:p>
      <w:pPr>
        <w:pStyle w:val="FirstParagraph"/>
      </w:pPr>
      <w:r>
        <w:t xml:space="preserve">To address the high prevalence of diabetes, mobile optometry units were deployed to major corporate hubs and residential compounds in &lt; strong &gt;Qatar Doha. These units provided quick vision checks and referrals, effectively acting as a triage system for deeper clinical assessments.</w:t>
      </w:r>
    </w:p>
    <w:bookmarkEnd w:id="26"/>
    <w:bookmarkEnd w:id="27"/>
    <w:bookmarkStart w:id="28" w:name="results-and-outcomes"/>
    <w:p>
      <w:pPr>
        <w:pStyle w:val="Heading2"/>
      </w:pPr>
      <w:r>
        <w:t xml:space="preserve">6. Results and Outcomes</w:t>
      </w:r>
    </w:p>
    <w:p>
      <w:pPr>
        <w:pStyle w:val="FirstParagraph"/>
      </w:pPr>
      <w:r>
        <w:t xml:space="preserve">The implementation of this holistic model yielded statistically significant improvements in both clinical outcomes and patient satisfaction metrics over an 18-month period:</w:t>
      </w:r>
    </w:p>
    <w:p>
      <w:pPr>
        <w:numPr>
          <w:ilvl w:val="0"/>
          <w:numId w:val="1002"/>
        </w:numPr>
        <w:pStyle w:val="Compact"/>
      </w:pPr>
      <w:r>
        <w:rPr>
          <w:bCs/>
          <w:b/>
        </w:rPr>
        <w:t xml:space="preserve">Increase in Early Detection:</w:t>
      </w:r>
      <w:r>
        <w:t xml:space="preserve"> </w:t>
      </w:r>
      <w:r>
        <w:t xml:space="preserve">There was a 40% increase in the early detection of diabetic retinopathy. This is critical because early intervention can prevent blindness, preserving the quality of life for thousands of residents in &lt; strong &gt;Qatar Doha.</w:t>
      </w:r>
    </w:p>
    <w:p>
      <w:pPr>
        <w:numPr>
          <w:ilvl w:val="0"/>
          <w:numId w:val="1002"/>
        </w:numPr>
        <w:pStyle w:val="Compact"/>
      </w:pPr>
      <w:r>
        <w:rPr>
          <w:bCs/>
          <w:b/>
        </w:rPr>
        <w:t xml:space="preserve">Patient Satisfaction Scores:</w:t>
      </w:r>
      <w:r>
        <w:t xml:space="preserve"> </w:t>
      </w:r>
      <w:r>
        <w:t xml:space="preserve">Patient feedback surveys revealed a 95% satisfaction rate, with particular praise for the clarity of explanation provided by the &lt; strong &gt;Optometrist. The use of digital visualizations helped patients understand their conditions better than traditional verbal explanations alone.</w:t>
      </w:r>
    </w:p>
    <w:p>
      <w:pPr>
        <w:numPr>
          <w:ilvl w:val="0"/>
          <w:numId w:val="1002"/>
        </w:numPr>
        <w:pStyle w:val="Compact"/>
      </w:pPr>
      <w:r>
        <w:rPr>
          <w:bCs/>
          <w:b/>
        </w:rPr>
        <w:t xml:space="preserve">Operational Efficiency:</w:t>
      </w:r>
      <w:r>
        <w:t xml:space="preserve"> </w:t>
      </w:r>
      <w:r>
        <w:t xml:space="preserve">The integration of digital records reduced administrative overhead by 25%, allowing the &lt; strong &gt;Optometrist</w:t>
      </w:r>
    </w:p>
    <w:bookmarkEnd w:id="28"/>
    <w:bookmarkStart w:id="29" w:name="challenges-and-mitigation-strategies"/>
    <w:p>
      <w:pPr>
        <w:pStyle w:val="Heading2"/>
      </w:pPr>
      <w:r>
        <w:t xml:space="preserve">7. Challenges and Mitigation Strategies</w:t>
      </w:r>
    </w:p>
    <w:p>
      <w:pPr>
        <w:pStyle w:val="FirstParagraph"/>
      </w:pPr>
      <w:r>
        <w:t xml:space="preserve">The project was not without obstacles. One significant challenge was the initial resistance from older patients who were skeptical of digital diagnostics in &lt; strong &gt;Qatar Doha. To mitigate this, staff were trained to emphasize that technology supports human judgment rather than replacing it. Another challenge was regulatory compliance with Qatar's Ministry of Public Health standards for medical devices, which required rigorous validation processes before new equipment could be fully utilized.</w:t>
      </w:r>
    </w:p>
    <w:bookmarkEnd w:id="29"/>
    <w:bookmarkStart w:id="30" w:name="conclusion-and-future-recommendations"/>
    <w:p>
      <w:pPr>
        <w:pStyle w:val="Heading2"/>
      </w:pPr>
      <w:r>
        <w:t xml:space="preserve">8. Conclusion and Future Recommendations</w:t>
      </w:r>
    </w:p>
    <w:p>
      <w:pPr>
        <w:pStyle w:val="FirstParagraph"/>
      </w:pPr>
      <w:r>
        <w:t xml:space="preserve">This case study demonstrates that the modernization of optometry services is not merely a technological upgrade but a strategic imperative in &lt; strong &gt;Qatar Doha. The role of the</w:t>
      </w:r>
    </w:p>
    <w:p>
      <w:pPr>
        <w:pStyle w:val="BodyText"/>
      </w:pPr>
      <w:r>
        <w:t xml:space="preserve">Optometrist has evolved from a vision tester to a vital primary eye care provider capable of detecting systemic health issues through ocular signs.</w:t>
      </w:r>
    </w:p>
    <w:p>
      <w:pPr>
        <w:pStyle w:val="BodyText"/>
      </w:pPr>
      <w:r>
        <w:t xml:space="preserve">For other healthcare entities looking to replicate this success, we recommend investing heavily in staff training alongside technology. In a diverse society like</w:t>
      </w:r>
      <w:r>
        <w:t xml:space="preserve"> </w:t>
      </w:r>
      <w:r>
        <w:rPr>
          <w:bCs/>
          <w:b/>
        </w:rPr>
        <w:t xml:space="preserve">Qatar Doha</w:t>
      </w:r>
      <w:r>
        <w:t xml:space="preserve">, the human element of care remains paramount. By combining advanced diagnostic capabilities with empathetic, culturally aware service delivery, healthcare providers can significantly improve public health outcomes and align with the broader goals of Qatar National Vision 2030.</w:t>
      </w:r>
    </w:p>
    <w:p>
      <w:pPr>
        <w:pStyle w:val="BodyText"/>
      </w:pPr>
      <w:r>
        <w:t xml:space="preserve">The future looks promising for optometry in this region. As telemedicine expands and wearable health technology becomes more prevalent,</w:t>
      </w:r>
      <w:r>
        <w:t xml:space="preserve"> </w:t>
      </w:r>
      <w:r>
        <w:rPr>
          <w:bCs/>
          <w:b/>
        </w:rPr>
        <w:t xml:space="preserve">Qatar Doha</w:t>
      </w:r>
      <w:r>
        <w:t xml:space="preserve"> </w:t>
      </w:r>
      <w:r>
        <w:t xml:space="preserve">is well-positioned to become a regional hub for innovative eye care solutions. The sustained collaboration between government bodies, private practices, and the dedicated</w:t>
      </w:r>
    </w:p>
    <w:p>
      <w:pPr>
        <w:pStyle w:val="BodyText"/>
      </w:pPr>
      <w:r>
        <w:t xml:space="preserve">Optometrist workforce will be key to maintaining this trajectory of excellence.</w:t>
      </w:r>
    </w:p>
    <w:p>
      <w:r>
        <w:pict>
          <v:rect style="width:0;height:1.5pt" o:hralign="center" o:hrstd="t" o:hr="t"/>
        </w:pict>
      </w:r>
    </w:p>
    <w:p>
      <w:pPr>
        <w:pStyle w:val="FirstParagraph"/>
      </w:pPr>
      <w:r>
        <w:rPr>
          <w:iCs/>
          <w:i/>
        </w:rPr>
        <w:t xml:space="preserve">Note: This document is a fictional case study created for illustrative purposes based on general healthcare trends in the region. Specific names and proprietary data have been anonymized.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Advanced Optometry Services in Qatar Doha</dc:title>
  <dc:creator/>
  <dc:language>en</dc:language>
  <cp:keywords/>
  <dcterms:created xsi:type="dcterms:W3CDTF">2026-07-29T04:10:03Z</dcterms:created>
  <dcterms:modified xsi:type="dcterms:W3CDTF">2026-07-29T04:10:03Z</dcterms:modified>
</cp:coreProperties>
</file>

<file path=docProps/custom.xml><?xml version="1.0" encoding="utf-8"?>
<Properties xmlns="http://schemas.openxmlformats.org/officeDocument/2006/custom-properties" xmlns:vt="http://schemas.openxmlformats.org/officeDocument/2006/docPropsVTypes"/>
</file>