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Vision</w:t>
      </w:r>
      <w:r>
        <w:t xml:space="preserve"> </w:t>
      </w:r>
      <w:r>
        <w:t xml:space="preserve">Excellence</w:t>
      </w:r>
      <w:r>
        <w:t xml:space="preserve"> </w:t>
      </w:r>
      <w:r>
        <w:t xml:space="preserve">in</w:t>
      </w:r>
      <w:r>
        <w:t xml:space="preserve"> </w:t>
      </w:r>
      <w:r>
        <w:t xml:space="preserve">the</w:t>
      </w:r>
      <w:r>
        <w:t xml:space="preserve"> </w:t>
      </w:r>
      <w:r>
        <w:t xml:space="preserve">Urban</w:t>
      </w:r>
      <w:r>
        <w:t xml:space="preserve"> </w:t>
      </w:r>
      <w:r>
        <w:t xml:space="preserve">Jungle</w:t>
      </w:r>
    </w:p>
    <w:bookmarkStart w:id="33" w:name="X0df5d1bdac2fed1e52e0e58fcde3e50fc24153e"/>
    <w:p>
      <w:pPr>
        <w:pStyle w:val="Heading1"/>
      </w:pPr>
      <w:r>
        <w:t xml:space="preserve">Clinical and Operational Case Study: Advanced Optometrist Services in United States New York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New York City</w:t>
      </w:r>
      <w:r>
        <w:br/>
      </w:r>
    </w:p>
    <w:p>
      <w:pPr>
        <w:pStyle w:val="BodyText"/>
      </w:pPr>
      <w:r>
        <w:t xml:space="preserve">Subject:The Integration of Digital Diagnostics and Community-Centric Care in a High-Volume Optometry Practice</w:t>
      </w:r>
    </w:p>
    <w:bookmarkStart w:id="20" w:name="executive-summary"/>
    <w:p>
      <w:pPr>
        <w:pStyle w:val="Heading2"/>
      </w:pPr>
      <w:r>
        <w:t xml:space="preserve">1. Executive Summary</w:t>
      </w:r>
    </w:p>
    <w:p>
      <w:pPr>
        <w:pStyle w:val="FirstParagraph"/>
      </w:pPr>
      <w:r>
        <w:t xml:space="preserve">This document presents a comprehensive case study detailing the operational, clinical, and strategic challenges faced by modern eye care providers within the dense urban landscape of</w:t>
      </w:r>
      <w:r>
        <w:t xml:space="preserve"> </w:t>
      </w:r>
      <w:r>
        <w:rPr>
          <w:bCs/>
          <w:b/>
        </w:rPr>
        <w:t xml:space="preserve">United States New York City</w:t>
      </w:r>
      <w:r>
        <w:t xml:space="preserve">. The primary focus is on the role of an advanced practice</w:t>
      </w:r>
      <w:r>
        <w:t xml:space="preserve"> </w:t>
      </w:r>
      <w:r>
        <w:rPr>
          <w:bCs/>
          <w:b/>
        </w:rPr>
        <w:t xml:space="preserve">Optometrist</w:t>
      </w:r>
      <w:r>
        <w:t xml:space="preserve">, examining how specialized vision care intersects with public health mandates, insurance complexities, and patient expectations in one of the most competitive healthcare markets in North America. By analyzing a hypothetical but representative clinic located in Manhattan, this study highlights critical success factors for delivering high-quality ophthalmic services while maintaining fiscal sustainability.</w:t>
      </w:r>
    </w:p>
    <w:bookmarkEnd w:id="20"/>
    <w:bookmarkStart w:id="21" w:name="X7f3ac02259ce3fcd9cdfbfcb3c17f1bf0b67177"/>
    <w:p>
      <w:pPr>
        <w:pStyle w:val="Heading2"/>
      </w:pPr>
      <w:r>
        <w:t xml:space="preserve">2. Introduction: The Unique Context of United States New York City</w:t>
      </w:r>
    </w:p>
    <w:p>
      <w:pPr>
        <w:pStyle w:val="FirstParagraph"/>
      </w:pPr>
      <w:r>
        <w:t xml:space="preserve">The healthcare ecosystem in</w:t>
      </w:r>
      <w:r>
        <w:t xml:space="preserve"> </w:t>
      </w:r>
      <w:r>
        <w:rPr>
          <w:bCs/>
          <w:b/>
        </w:rPr>
        <w:t xml:space="preserve">United States New York City</w:t>
      </w:r>
      <w:r>
        <w:t xml:space="preserve">Optometrist operating in this region the ability to manage high patient volumes while providing personalized care is not merely a business goal but a clinical necessity.</w:t>
      </w:r>
    </w:p>
    <w:p>
      <w:pPr>
        <w:pStyle w:val="BodyText"/>
      </w:pPr>
      <w:r>
        <w:rPr>
          <w:bCs/>
          <w:b/>
        </w:rPr>
        <w:t xml:space="preserve">New York CityOptometrist</w:t>
      </w:r>
    </w:p>
    <w:bookmarkEnd w:id="21"/>
    <w:bookmarkStart w:id="24" w:name="case-profile-metropolitan-vision-center"/>
    <w:p>
      <w:pPr>
        <w:pStyle w:val="Heading2"/>
      </w:pPr>
      <w:r>
        <w:t xml:space="preserve">3. Case Profile: "Metropolitan Vision Center"</w:t>
      </w:r>
    </w:p>
    <w:p>
      <w:pPr>
        <w:pStyle w:val="FirstParagraph"/>
      </w:pPr>
      <w:r>
        <w:t xml:space="preserve">To illustrate these dynamics we examine "Metropolitan Vision Center" MVC a mid-sized multi-provider practice situated in Midtown Manhattan. MVC employs four</w:t>
      </w:r>
      <w:r>
        <w:t xml:space="preserve"> </w:t>
      </w:r>
      <w:r>
        <w:rPr>
          <w:bCs/>
          <w:b/>
        </w:rPr>
        <w:t xml:space="preserve">Optometrist</w:t>
      </w:r>
    </w:p>
    <w:bookmarkStart w:id="22" w:name="patient-demographics"/>
    <w:p>
      <w:pPr>
        <w:pStyle w:val="Heading3"/>
      </w:pPr>
      <w:r>
        <w:t xml:space="preserve">3.1 Patient Demographics</w:t>
      </w:r>
    </w:p>
    <w:p>
      <w:pPr>
        <w:pStyle w:val="FirstParagraph"/>
      </w:pPr>
      <w:r>
        <w:t xml:space="preserve">The patient base at MVC reflects the demographic tapestry of</w:t>
      </w:r>
      <w:r>
        <w:t xml:space="preserve"> </w:t>
      </w:r>
      <w:r>
        <w:rPr>
          <w:bCs/>
          <w:b/>
        </w:rPr>
        <w:t xml:space="preserve">United States New York City</w:t>
      </w:r>
      <w:r>
        <w:t xml:space="preserve">. Approximately sixty percent are commercial insurance holders including employees from finance media and tech sectors twenty-five percent utilize Medicaid or Medicare and fifteen percent pay out-of-pocket for elective procedures such as LASIK screening or premium contact lens fittings. This diversity necessitates a flexible billing framework and empathetic communication strategies tailored to varying socioeconomic backgrounds.</w:t>
      </w:r>
    </w:p>
    <w:bookmarkEnd w:id="22"/>
    <w:bookmarkStart w:id="23" w:name="clinical-scope"/>
    <w:p>
      <w:pPr>
        <w:pStyle w:val="Heading3"/>
      </w:pPr>
      <w:r>
        <w:t xml:space="preserve">3.2 Clinical Scope</w:t>
      </w:r>
    </w:p>
    <w:p>
      <w:pPr>
        <w:pStyle w:val="FirstParagraph"/>
      </w:pPr>
      <w:r>
        <w:t xml:space="preserve">The</w:t>
      </w:r>
      <w:r>
        <w:t xml:space="preserve"> </w:t>
      </w:r>
      <w:r>
        <w:rPr>
          <w:bCs/>
          <w:b/>
        </w:rPr>
        <w:t xml:space="preserve">Optometrist</w:t>
      </w:r>
    </w:p>
    <w:bookmarkEnd w:id="23"/>
    <w:bookmarkEnd w:id="24"/>
    <w:bookmarkStart w:id="28" w:name="X9dcda466f7b3777f14d41ee548d5985d5fc94e9"/>
    <w:p>
      <w:pPr>
        <w:pStyle w:val="Heading2"/>
      </w:pPr>
      <w:r>
        <w:t xml:space="preserve">4. Operational Challenges and Strategic Responses</w:t>
      </w:r>
    </w:p>
    <w:p>
      <w:pPr>
        <w:pStyle w:val="FirstParagraph"/>
      </w:pPr>
      <w:r>
        <w:t xml:space="preserve">Operating an</w:t>
      </w:r>
      <w:r>
        <w:t xml:space="preserve"> </w:t>
      </w:r>
      <w:r>
        <w:rPr>
          <w:bCs/>
          <w:b/>
        </w:rPr>
        <w:t xml:space="preserve">Optometrist</w:t>
      </w:r>
      <w:r>
        <w:t xml:space="preserve"> </w:t>
      </w:r>
      <w:r>
        <w:t xml:space="preserve">practice in</w:t>
      </w:r>
      <w:r>
        <w:t xml:space="preserve"> </w:t>
      </w:r>
      <w:r>
        <w:rPr>
          <w:bCs/>
          <w:b/>
        </w:rPr>
        <w:t xml:space="preserve">New York City</w:t>
      </w:r>
    </w:p>
    <w:bookmarkStart w:id="25" w:name="X4199886454f682922985a98e8539215f0e85fb0"/>
    <w:p>
      <w:pPr>
        <w:pStyle w:val="Heading3"/>
      </w:pPr>
      <w:r>
        <w:t xml:space="preserve">4.1 Technology Integration as a Competitive Advantage</w:t>
      </w:r>
    </w:p>
    <w:p>
      <w:pPr>
        <w:pStyle w:val="FirstParagraph"/>
      </w:pPr>
      <w:r>
        <w:t xml:space="preserve">To maintain efficiency MVC invested heavily in advanced diagnostic technology including spectral-domain optical coherence tomography SD-OCT ultra-widefield fundus imaging and automated refractors equipped with AI-driven analytics. These tools allow the</w:t>
      </w:r>
      <w:r>
        <w:t xml:space="preserve"> </w:t>
      </w:r>
      <w:r>
        <w:rPr>
          <w:bCs/>
          <w:b/>
        </w:rPr>
        <w:t xml:space="preserve">Optometrist</w:t>
      </w:r>
    </w:p>
    <w:bookmarkEnd w:id="25"/>
    <w:bookmarkStart w:id="26" w:name="Xe2b2564a7391a26e135c435519f06475262fb04"/>
    <w:p>
      <w:pPr>
        <w:pStyle w:val="Heading3"/>
      </w:pPr>
      <w:r>
        <w:t xml:space="preserve">4.2 Insurance Navigation and Reimbursement Models</w:t>
      </w:r>
    </w:p>
    <w:p>
      <w:pPr>
        <w:pStyle w:val="FirstParagraph"/>
      </w:pPr>
      <w:r>
        <w:t xml:space="preserve">In</w:t>
      </w:r>
      <w:r>
        <w:t xml:space="preserve"> </w:t>
      </w:r>
      <w:r>
        <w:rPr>
          <w:bCs/>
          <w:b/>
        </w:rPr>
        <w:t xml:space="preserve">United States New York CityOptometrist</w:t>
      </w:r>
    </w:p>
    <w:bookmarkEnd w:id="26"/>
    <w:bookmarkStart w:id="27" w:name="workforce-management"/>
    <w:p>
      <w:pPr>
        <w:pStyle w:val="Heading3"/>
      </w:pPr>
      <w:r>
        <w:t xml:space="preserve">4.3 Workforce Management</w:t>
      </w:r>
    </w:p>
    <w:p>
      <w:pPr>
        <w:pStyle w:val="FirstParagraph"/>
      </w:pPr>
      <w:r>
        <w:t xml:space="preserve">A recurring challenge is retaining skilled staff amidst high cost of living pressures. MVC addresses this by offering competitive wages continuing education allowances and flexible scheduling options recognizing that the well-being of support staff directly influences the quality of care delivered by the</w:t>
      </w:r>
      <w:r>
        <w:t xml:space="preserve"> </w:t>
      </w:r>
      <w:r>
        <w:rPr>
          <w:bCs/>
          <w:b/>
        </w:rPr>
        <w:t xml:space="preserve">Optometrist</w:t>
      </w:r>
    </w:p>
    <w:bookmarkEnd w:id="27"/>
    <w:bookmarkEnd w:id="28"/>
    <w:bookmarkStart w:id="29" w:name="Xc8b89f2a8b76cc1b2b51d0b5bbf7e578956b195"/>
    <w:p>
      <w:pPr>
        <w:pStyle w:val="Heading2"/>
      </w:pPr>
      <w:r>
        <w:t xml:space="preserve">5. Clinical Outcomes and Patient Satisfaction</w:t>
      </w:r>
    </w:p>
    <w:p>
      <w:pPr>
        <w:pStyle w:val="FirstParagraph"/>
      </w:pPr>
      <w:r>
        <w:t xml:space="preserve">The integration of streamlined workflows and advanced diagnostics has yielded measurable improvements in clinical outcomes at MVC. Key performance indicators include:</w:t>
      </w:r>
    </w:p>
    <w:p>
      <w:pPr>
        <w:numPr>
          <w:ilvl w:val="0"/>
          <w:numId w:val="1001"/>
        </w:numPr>
        <w:pStyle w:val="Compact"/>
      </w:pPr>
      <w:r>
        <w:rPr>
          <w:bCs/>
          <w:b/>
        </w:rPr>
        <w:t xml:space="preserve">Detection Rates:</w:t>
      </w:r>
    </w:p>
    <w:p>
      <w:pPr>
        <w:numPr>
          <w:ilvl w:val="0"/>
          <w:numId w:val="1001"/>
        </w:numPr>
        <w:pStyle w:val="Compact"/>
      </w:pPr>
      <w:r>
        <w:t xml:space="preserve">Patient Retention:Optometrist team.</w:t>
      </w:r>
    </w:p>
    <w:p>
      <w:pPr>
        <w:numPr>
          <w:ilvl w:val="0"/>
          <w:numId w:val="1001"/>
        </w:numPr>
        <w:pStyle w:val="Compact"/>
      </w:pPr>
      <w:r>
        <w:t xml:space="preserve">Satisfaction Scores:</w:t>
      </w:r>
    </w:p>
    <w:p>
      <w:pPr>
        <w:pStyle w:val="FirstParagraph"/>
      </w:pPr>
      <w:r>
        <w:t xml:space="preserve">Patient feedback often cites the convenience of same-day appointments for urgent issues such as foreign body removal or acute eye infections a critical feature in a city where time is scarce. The</w:t>
      </w:r>
    </w:p>
    <w:p>
      <w:pPr>
        <w:pStyle w:val="BodyText"/>
      </w:pPr>
      <w:r>
        <w:t xml:space="preserve">Optometrist role extends beyond prescription correction; it encompasses education on screen hygiene nutritional support for eye health and advocacy for regular examinations.</w:t>
      </w:r>
    </w:p>
    <w:bookmarkEnd w:id="29"/>
    <w:bookmarkStart w:id="30" w:name="X95a816cab609377dd94cc571ec8019a5549522e"/>
    <w:p>
      <w:pPr>
        <w:pStyle w:val="Heading2"/>
      </w:pPr>
      <w:r>
        <w:t xml:space="preserve">6. Community Engagement and Public Health Role</w:t>
      </w:r>
    </w:p>
    <w:p>
      <w:pPr>
        <w:pStyle w:val="FirstParagraph"/>
      </w:pPr>
      <w:r>
        <w:t xml:space="preserve">In</w:t>
      </w:r>
    </w:p>
    <w:p>
      <w:pPr>
        <w:pStyle w:val="BodyText"/>
      </w:pPr>
      <w:r>
        <w:t xml:space="preserve">New York City the</w:t>
      </w:r>
    </w:p>
    <w:p>
      <w:pPr>
        <w:pStyle w:val="BodyText"/>
      </w:pPr>
      <w:r>
        <w:t xml:space="preserve">Optometrist is increasingly viewed as an integral component of the broader public health infrastructure. MVC actively participates in community outreach programs including free vision screenings for homeless shelters senior centers and Title I schools. These initiatives not only fulfill corporate social responsibility goals but also expand access to care for underserved populations who might otherwise forego regular eye exams due to financial or logistical barriers.</w:t>
      </w:r>
    </w:p>
    <w:p>
      <w:pPr>
        <w:pStyle w:val="BodyText"/>
      </w:pPr>
      <w:r>
        <w:t xml:space="preserve">Furthermore collaboration with local public health officials during pandemics such as COVID-19 allowed</w:t>
      </w:r>
    </w:p>
    <w:p>
      <w:pPr>
        <w:pStyle w:val="BodyText"/>
      </w:pPr>
      <w:r>
        <w:t xml:space="preserve">Optometrist practices in</w:t>
      </w:r>
    </w:p>
    <w:p>
      <w:pPr>
        <w:pStyle w:val="BodyText"/>
      </w:pPr>
      <w:r>
        <w:t xml:space="preserve">United States New York City to serve as testing sites for certain infectious diseases leveraging their proximity and trust within neighborhoods. This adaptability reinforces the essential nature of optometric care in urban public health strategy.</w:t>
      </w:r>
    </w:p>
    <w:bookmarkEnd w:id="30"/>
    <w:bookmarkStart w:id="31" w:name="future-outlook-and-recommendations"/>
    <w:p>
      <w:pPr>
        <w:pStyle w:val="Heading2"/>
      </w:pPr>
      <w:r>
        <w:t xml:space="preserve">7. Future Outlook and Recommendations</w:t>
      </w:r>
    </w:p>
    <w:p>
      <w:pPr>
        <w:pStyle w:val="FirstParagraph"/>
      </w:pPr>
      <w:r>
        <w:t xml:space="preserve">Looking ahead the trajectory of</w:t>
      </w:r>
      <w:r>
        <w:t xml:space="preserve"> </w:t>
      </w:r>
      <w:r>
        <w:rPr>
          <w:bCs/>
          <w:b/>
        </w:rPr>
        <w:t xml:space="preserve">Optometrist</w:t>
      </w:r>
      <w:r>
        <w:t xml:space="preserve"> </w:t>
      </w:r>
      <w:r>
        <w:t xml:space="preserve">practice in</w:t>
      </w:r>
    </w:p>
    <w:p>
      <w:pPr>
        <w:pStyle w:val="BodyText"/>
      </w:pPr>
      <w:r>
        <w:t xml:space="preserve">New York City will likely be shaped by telehealth expansion genomics-based risk assessment and further automation of routine tasks. Practices that invest in digital infrastructure staff training and community integration will thrive. Specifically recommendations include:</w:t>
      </w:r>
    </w:p>
    <w:p>
      <w:pPr>
        <w:numPr>
          <w:ilvl w:val="0"/>
          <w:numId w:val="1002"/>
        </w:numPr>
        <w:pStyle w:val="Compact"/>
      </w:pPr>
      <w:r>
        <w:rPr>
          <w:bCs/>
          <w:b/>
        </w:rPr>
        <w:t xml:space="preserve">Enhanced Tele-optometry:</w:t>
      </w:r>
      <w:r>
        <w:t xml:space="preserve"> </w:t>
      </w:r>
      <w:r>
        <w:t xml:space="preserve">Implement secure video consultation platforms for follow-up visits reducing no-show rates.</w:t>
      </w:r>
    </w:p>
    <w:p>
      <w:pPr>
        <w:numPr>
          <w:ilvl w:val="0"/>
          <w:numId w:val="1002"/>
        </w:numPr>
        <w:pStyle w:val="Compact"/>
      </w:pPr>
      <w:r>
        <w:t xml:space="preserve">Cultural Competency Training: Ongoing education for all staff to better serve the multilingual diverse populace of</w:t>
      </w:r>
    </w:p>
    <w:p>
      <w:pPr>
        <w:numPr>
          <w:ilvl w:val="0"/>
          <w:numId w:val="1000"/>
        </w:numPr>
        <w:pStyle w:val="Compact"/>
      </w:pPr>
      <w:r>
        <w:t xml:space="preserve">United States New York City.</w:t>
      </w:r>
    </w:p>
    <w:p>
      <w:pPr>
        <w:numPr>
          <w:ilvl w:val="0"/>
          <w:numId w:val="1002"/>
        </w:numPr>
        <w:pStyle w:val="Compact"/>
      </w:pPr>
      <w:r>
        <w:t xml:space="preserve">Data-Driven Care: Utilize electronic health records EHR data to identify local trends in eye disease and tailor preventive campaigns accordingly.</w:t>
      </w:r>
    </w:p>
    <w:bookmarkEnd w:id="31"/>
    <w:bookmarkStart w:id="32" w:name="conclusion"/>
    <w:p>
      <w:pPr>
        <w:pStyle w:val="Heading2"/>
      </w:pPr>
      <w:r>
        <w:t xml:space="preserve">8. Conclusion</w:t>
      </w:r>
    </w:p>
    <w:p>
      <w:pPr>
        <w:pStyle w:val="FirstParagraph"/>
      </w:pPr>
      <w:r>
        <w:t xml:space="preserve">This case study demonstrates that excellence in</w:t>
      </w:r>
      <w:r>
        <w:t xml:space="preserve"> </w:t>
      </w:r>
      <w:r>
        <w:rPr>
          <w:bCs/>
          <w:b/>
        </w:rPr>
        <w:t xml:space="preserve">Optometrist</w:t>
      </w:r>
      <w:r>
        <w:t xml:space="preserve"> </w:t>
      </w:r>
      <w:r>
        <w:t xml:space="preserve">practice requires more than clinical skill; it demands strategic foresight operational resilience and deep community engagement especially within the dynamic environment of</w:t>
      </w:r>
    </w:p>
    <w:p>
      <w:pPr>
        <w:pStyle w:val="BodyText"/>
      </w:pPr>
      <w:r>
        <w:t xml:space="preserve">New York City. As the healthcare landscape evolves those who embrace innovation while prioritizing patient-centered care will continue to deliver vital vision services across all demographics. The successful</w:t>
      </w:r>
    </w:p>
    <w:p>
      <w:pPr>
        <w:pStyle w:val="BodyText"/>
      </w:pPr>
      <w:r>
        <w:t xml:space="preserve">Optometrist in this bustling metropolis is not just a clinician but a healthcare leader advocating for accessible affordable and high-quality eye care for every resident of</w:t>
      </w:r>
      <w:r>
        <w:t xml:space="preserve"> </w:t>
      </w:r>
      <w:r>
        <w:rPr>
          <w:bCs/>
          <w:b/>
        </w:rPr>
        <w:t xml:space="preserve">United States New York City</w:t>
      </w:r>
      <w:r>
        <w:t xml:space="preserve">.</w:t>
      </w:r>
    </w:p>
    <w:p>
      <w:pPr>
        <w:pStyle w:val="BodyText"/>
      </w:pPr>
      <w:r>
        <w:rPr>
          <w:iCs/>
          <w:i/>
        </w:rPr>
        <w:t xml:space="preserve">Note: This document is for educational and illustrative purposes only. Specific clinical protocols should align with current state laws in New York and federal regulations applicable to optometric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Vision Excellence in the Urban Jungle</dc:title>
  <dc:creator/>
  <dc:language>en</dc:language>
  <cp:keywords/>
  <dcterms:created xsi:type="dcterms:W3CDTF">2026-07-29T13:07:08Z</dcterms:created>
  <dcterms:modified xsi:type="dcterms:W3CDTF">2026-07-29T13:07:08Z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