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Australia</w:t>
      </w:r>
      <w:r>
        <w:t xml:space="preserve"> </w:t>
      </w:r>
      <w:r>
        <w:t xml:space="preserve">Melbourne</w:t>
      </w:r>
    </w:p>
    <w:bookmarkStart w:id="20" w:name="X5574661d550ab546412661e33e2058744b8fdf0"/>
    <w:p>
      <w:pPr>
        <w:pStyle w:val="Heading1"/>
      </w:pPr>
      <w:r>
        <w:t xml:space="preserve">Clinical Case Study and Operational Review</w:t>
      </w:r>
    </w:p>
    <w:p>
      <w:pPr>
        <w:pStyle w:val="FirstParagraph"/>
      </w:pPr>
      <w:r>
        <w:rPr>
          <w:bCs/>
          <w:b/>
        </w:rPr>
        <w:t xml:space="preserve">Title:</w:t>
      </w:r>
      <w:r>
        <w:t xml:space="preserve"> </w:t>
      </w:r>
      <w:r>
        <w:t xml:space="preserve">Optimizing Comprehensive Orthodontic Care in the Australia Melbourne Metropolitan Region</w:t>
      </w:r>
    </w:p>
    <w:p>
      <w:pPr>
        <w:pStyle w:val="BodyText"/>
      </w:pPr>
      <w:r>
        <w:rPr>
          <w:bCs/>
          <w:b/>
        </w:rPr>
        <w:t xml:space="preserve">Date:</w:t>
      </w:r>
      <w:r>
        <w:t xml:space="preserve"> </w:t>
      </w:r>
      <w:r>
        <w:t xml:space="preserve">October 2023</w:t>
      </w:r>
    </w:p>
    <w:bookmarkEnd w:id="20"/>
    <w:bookmarkStart w:id="22" w:name="executive-summary"/>
    <w:bookmarkStart w:id="21" w:name="X8c173b0cedaed10bbc2c813dc1d6775cdaf028b"/>
    <w:p>
      <w:pPr>
        <w:pStyle w:val="Heading2"/>
      </w:pPr>
      <w:r>
        <w:t xml:space="preserve">The Importance of This Case Study on Orthodontist Practices in Australia Melbourne</w:t>
      </w:r>
    </w:p>
    <w:p>
      <w:pPr>
        <w:pStyle w:val="FirstParagraph"/>
      </w:pPr>
      <w:r>
        <w:t xml:space="preserve">This document serves as a critical analysis of the evolving landscape of dental care, specifically focusing on the specialized field of orthodontics within one of the most culturally diverse and rapidly developing urban centers in the world:</w:t>
      </w:r>
      <w:r>
        <w:t xml:space="preserve"> </w:t>
      </w:r>
      <w:r>
        <w:rPr>
          <w:bCs/>
          <w:b/>
        </w:rPr>
        <w:t xml:space="preserve">Australia Melbourne</w:t>
      </w:r>
      <w:r>
        <w:t xml:space="preserve">. As population dynamics shift and patient expectations rise, understanding how an</w:t>
      </w:r>
      <w:r>
        <w:t xml:space="preserve"> </w:t>
      </w:r>
      <w:r>
        <w:rPr>
          <w:bCs/>
          <w:b/>
        </w:rPr>
        <w:t xml:space="preserve">Orthodontist</w:t>
      </w:r>
      <w:r>
        <w:t xml:space="preserve"> </w:t>
      </w:r>
      <w:r>
        <w:t xml:space="preserve">operates within this specific geographic context is essential for stakeholders including healthcare administrators, dental professionals, and potential patients.</w:t>
      </w:r>
    </w:p>
    <w:p>
      <w:pPr>
        <w:pStyle w:val="BodyText"/>
      </w:pPr>
      <w:r>
        <w:rPr>
          <w:iCs/>
          <w:i/>
        </w:rPr>
        <w:t xml:space="preserve">This Case Study examines the intersection of clinical excellence with local demographic needs.</w:t>
      </w:r>
    </w:p>
    <w:bookmarkEnd w:id="21"/>
    <w:bookmarkEnd w:id="22"/>
    <w:bookmarkStart w:id="24" w:name="background"/>
    <w:bookmarkStart w:id="23" w:name="X272dc9d1aec95858b9f5b49380e1b6b5ee8993a"/>
    <w:p>
      <w:pPr>
        <w:pStyle w:val="Heading2"/>
      </w:pPr>
      <w:r>
        <w:t xml:space="preserve">The Unique Demographic Context of Australia Melbourne</w:t>
      </w:r>
    </w:p>
    <w:p>
      <w:pPr>
        <w:pStyle w:val="FirstParagraph"/>
      </w:pPr>
      <w:r>
        <w:t xml:space="preserve">Melbourne is often cited as one of the most livable cities globally, characterized by a highly educated populace and a significant immigrant population from Asia, Europe, and Africa. This diversity directly impacts the</w:t>
      </w:r>
      <w:r>
        <w:t xml:space="preserve"> </w:t>
      </w:r>
      <w:r>
        <w:rPr>
          <w:bCs/>
          <w:b/>
        </w:rPr>
        <w:t xml:space="preserve">Australia Melbourne</w:t>
      </w:r>
      <w:r>
        <w:t xml:space="preserve"> </w:t>
      </w:r>
      <w:r>
        <w:t xml:space="preserve">market for an</w:t>
      </w:r>
      <w:r>
        <w:t xml:space="preserve"> </w:t>
      </w:r>
      <w:r>
        <w:rPr>
          <w:iCs/>
          <w:i/>
        </w:rPr>
        <w:t xml:space="preserve">Orthodontist</w:t>
      </w:r>
      <w:r>
        <w:t xml:space="preserve">. Unlike other regions that may have homogeneous patient bases, Melbourne presents complex challenges regarding:</w:t>
      </w:r>
    </w:p>
    <w:p>
      <w:pPr>
        <w:numPr>
          <w:ilvl w:val="0"/>
          <w:numId w:val="1001"/>
        </w:numPr>
        <w:pStyle w:val="Compact"/>
      </w:pPr>
      <w:r>
        <w:t xml:space="preserve">Cultural perceptions of dental aesthetics.</w:t>
      </w:r>
    </w:p>
    <w:p>
      <w:pPr>
        <w:numPr>
          <w:ilvl w:val="0"/>
          <w:numId w:val="1001"/>
        </w:numPr>
        <w:pStyle w:val="Compact"/>
      </w:pPr>
      <w:r>
        <w:t xml:space="preserve">Multilingual communication requirements.</w:t>
      </w:r>
    </w:p>
    <w:p>
      <w:pPr>
        <w:numPr>
          <w:ilvl w:val="0"/>
          <w:numId w:val="1001"/>
        </w:numPr>
        <w:pStyle w:val="Compact"/>
      </w:pPr>
      <w:r>
        <w:t xml:space="preserve">Diverse dietary habits affecting oral health outcomes.</w:t>
      </w:r>
    </w:p>
    <w:p>
      <w:pPr>
        <w:pStyle w:val="FirstParagraph"/>
      </w:pPr>
      <w:r>
        <w:t xml:space="preserve">A successful</w:t>
      </w:r>
      <w:r>
        <w:t xml:space="preserve"> </w:t>
      </w:r>
      <w:r>
        <w:rPr>
          <w:bCs/>
          <w:b/>
        </w:rPr>
        <w:t xml:space="preserve">Case Study</w:t>
      </w:r>
      <w:r>
        <w:t xml:space="preserve"> </w:t>
      </w:r>
      <w:r>
        <w:t xml:space="preserve">on this topic must account for these variables. The modern patient in Melbourne is not merely seeking straight teeth; they are seeking a holistic lifestyle integration, convenience, and culturally competent care. This complexity sets the stage for why localized orthodontic strategies in</w:t>
      </w:r>
      <w:r>
        <w:t xml:space="preserve"> </w:t>
      </w:r>
      <w:r>
        <w:rPr>
          <w:iCs/>
          <w:i/>
        </w:rPr>
        <w:t xml:space="preserve">Australia Melbourne</w:t>
      </w:r>
      <w:r>
        <w:t xml:space="preserve"> </w:t>
      </w:r>
      <w:r>
        <w:t xml:space="preserve">differ significantly from those in rural Australia or other international markets.</w:t>
      </w:r>
    </w:p>
    <w:bookmarkEnd w:id="23"/>
    <w:bookmarkEnd w:id="24"/>
    <w:bookmarkStart w:id="28" w:name="clinical-presentation"/>
    <w:bookmarkStart w:id="27" w:name="X1edd3d54c8f3f6d97d539dd6fa781fe2b382b10"/>
    <w:p>
      <w:pPr>
        <w:pStyle w:val="Heading2"/>
      </w:pPr>
      <w:r>
        <w:t xml:space="preserve">Clinical Presentation and Treatment Planning</w:t>
      </w:r>
    </w:p>
    <w:bookmarkStart w:id="25" w:name="X2c7b745d31e841d8a91a843dccc038743362049"/>
    <w:p>
      <w:pPr>
        <w:pStyle w:val="Heading3"/>
      </w:pPr>
      <w:r>
        <w:t xml:space="preserve">Patient Profile: The Modern Melbourne Adult</w:t>
      </w:r>
    </w:p>
    <w:p>
      <w:pPr>
        <w:pStyle w:val="FirstParagraph"/>
      </w:pPr>
      <w:r>
        <w:t xml:space="preserve">The primary subject of this</w:t>
      </w:r>
      <w:r>
        <w:t xml:space="preserve"> </w:t>
      </w:r>
      <w:r>
        <w:rPr>
          <w:bCs/>
          <w:b/>
        </w:rPr>
        <w:t xml:space="preserve">Case Study</w:t>
      </w:r>
      <w:r>
        <w:t xml:space="preserve"> </w:t>
      </w:r>
      <w:r>
        <w:t xml:space="preserve">involves a 28-year-old professional residing in the inner-city suburbs of</w:t>
      </w:r>
      <w:r>
        <w:t xml:space="preserve"> </w:t>
      </w:r>
      <w:r>
        <w:rPr>
          <w:iCs/>
          <w:i/>
        </w:rPr>
        <w:t xml:space="preserve">Australia Melbourne</w:t>
      </w:r>
      <w:r>
        <w:t xml:space="preserve">. While adolescent orthodontics remains common, there is a surging trend in adult treatment. This patient presented with severe crowding and occlusal discrepancies that had been neglected due to financial barriers during adolescence.</w:t>
      </w:r>
    </w:p>
    <w:p>
      <w:pPr>
        <w:pStyle w:val="BodyText"/>
      </w:pPr>
      <w:r>
        <w:t xml:space="preserve">The chosen</w:t>
      </w:r>
      <w:r>
        <w:t xml:space="preserve"> </w:t>
      </w:r>
      <w:r>
        <w:rPr>
          <w:bCs/>
          <w:b/>
        </w:rPr>
        <w:t xml:space="preserve">Orthodontist</w:t>
      </w:r>
      <w:r>
        <w:t xml:space="preserve"> </w:t>
      </w:r>
      <w:r>
        <w:t xml:space="preserve">utilized clear aligner technology combined with traditional fixed braces to address both aesthetic desires and functional alignment. The decision-making process was heavily influenced by the urban pace of life in</w:t>
      </w:r>
      <w:r>
        <w:t xml:space="preserve"> </w:t>
      </w:r>
      <w:r>
        <w:rPr>
          <w:iCs/>
          <w:i/>
        </w:rPr>
        <w:t xml:space="preserve">Australia Melbourne</w:t>
      </w:r>
      <w:r>
        <w:t xml:space="preserve">. Patients in this region often require flexible appointment scheduling, digital imaging for immediate feedback, and minimal disruption to their professional careers.</w:t>
      </w:r>
    </w:p>
    <w:bookmarkEnd w:id="25"/>
    <w:bookmarkStart w:id="26" w:name="technological-integration"/>
    <w:p>
      <w:pPr>
        <w:pStyle w:val="Heading3"/>
      </w:pPr>
      <w:r>
        <w:t xml:space="preserve">Technological Integration</w:t>
      </w:r>
    </w:p>
    <w:p>
      <w:pPr>
        <w:pStyle w:val="FirstParagraph"/>
      </w:pPr>
      <w:r>
        <w:t xml:space="preserve">In line with current trends observed throughout</w:t>
      </w:r>
      <w:r>
        <w:t xml:space="preserve"> </w:t>
      </w:r>
      <w:r>
        <w:rPr>
          <w:bCs/>
          <w:b/>
        </w:rPr>
        <w:t xml:space="preserve">Australia Melbourne</w:t>
      </w:r>
      <w:r>
        <w:t xml:space="preserve">, the implementation of CAD/CAM (Computer-Aided Design/Computer-Aided Manufacturing) software played a pivotal role. The ability to visualize treatment outcomes virtually proved crucial in securing patient buy-in, a key finding in this</w:t>
      </w:r>
      <w:r>
        <w:t xml:space="preserve"> </w:t>
      </w:r>
      <w:r>
        <w:rPr>
          <w:iCs/>
          <w:i/>
        </w:rPr>
        <w:t xml:space="preserve">Case Study</w:t>
      </w:r>
      <w:r>
        <w:t xml:space="preserve">.</w:t>
      </w:r>
    </w:p>
    <w:bookmarkEnd w:id="26"/>
    <w:bookmarkEnd w:id="27"/>
    <w:bookmarkEnd w:id="28"/>
    <w:bookmarkStart w:id="30" w:name="challenges-solutions"/>
    <w:bookmarkStart w:id="29" w:name="X13543e322722d617d4091992c1614ed260b1a6b"/>
    <w:p>
      <w:pPr>
        <w:pStyle w:val="Heading2"/>
      </w:pPr>
      <w:r>
        <w:t xml:space="preserve">Navigating Challenges Specific to the Region</w:t>
      </w:r>
    </w:p>
    <w:p>
      <w:pPr>
        <w:pStyle w:val="FirstParagraph"/>
      </w:pPr>
      <w:r>
        <w:t xml:space="preserve">This section of the</w:t>
      </w:r>
      <w:r>
        <w:t xml:space="preserve"> </w:t>
      </w:r>
      <w:r>
        <w:rPr>
          <w:bCs/>
          <w:b/>
        </w:rPr>
        <w:t xml:space="preserve">Case Study</w:t>
      </w:r>
      <w:r>
        <w:t xml:space="preserve"> </w:t>
      </w:r>
      <w:r>
        <w:t xml:space="preserve">details the hurdles faced during treatment and how they were overcome. Operating as an</w:t>
      </w:r>
      <w:r>
        <w:t xml:space="preserve"> </w:t>
      </w:r>
      <w:r>
        <w:rPr>
          <w:bCs/>
          <w:b/>
          <w:iCs/>
          <w:i/>
        </w:rPr>
        <w:t xml:space="preserve">Orthodontist</w:t>
      </w:r>
      <w:r>
        <w:t xml:space="preserve"> </w:t>
      </w:r>
      <w:r>
        <w:t xml:space="preserve">in</w:t>
      </w:r>
      <w:r>
        <w:t xml:space="preserve"> </w:t>
      </w:r>
      <w:r>
        <w:rPr>
          <w:iCs/>
          <w:i/>
        </w:rPr>
        <w:t xml:space="preserve">Australia Melbourne</w:t>
      </w:r>
      <w:r>
        <w:t xml:space="preserve"> </w:t>
      </w:r>
      <w:r>
        <w:t xml:space="preserve">presents several unique logistical and clinical challenges:</w:t>
      </w:r>
    </w:p>
    <w:p>
      <w:pPr>
        <w:numPr>
          <w:ilvl w:val="0"/>
          <w:numId w:val="1002"/>
        </w:numPr>
        <w:pStyle w:val="Compact"/>
      </w:pPr>
      <w:r>
        <w:rPr>
          <w:bCs/>
          <w:b/>
        </w:rPr>
        <w:t xml:space="preserve">Socioeconomic Disparities:</w:t>
      </w:r>
      <w:r>
        <w:t xml:space="preserve">Melbourne has significant income inequality between its affluent eastern suburbs and western fringe areas. The chosen clinic implemented a tiered pricing model to ensure accessibility, acknowledging that an</w:t>
      </w:r>
      <w:r>
        <w:t xml:space="preserve"> </w:t>
      </w:r>
      <w:r>
        <w:rPr>
          <w:iCs/>
          <w:i/>
        </w:rPr>
        <w:t xml:space="preserve">Orthodontist</w:t>
      </w:r>
      <w:r>
        <w:t xml:space="preserve"> </w:t>
      </w:r>
      <w:r>
        <w:t xml:space="preserve">cannot simply serve the wealthy elite but must also cater to the broader community.</w:t>
      </w:r>
    </w:p>
    <w:p>
      <w:pPr>
        <w:numPr>
          <w:ilvl w:val="0"/>
          <w:numId w:val="1002"/>
        </w:numPr>
        <w:pStyle w:val="Compact"/>
      </w:pPr>
      <w:r>
        <w:rPr>
          <w:bCs/>
          <w:b/>
        </w:rPr>
        <w:t xml:space="preserve">Cultural Sensitivity:</w:t>
      </w:r>
      <w:r>
        <w:t xml:space="preserve">In this</w:t>
      </w:r>
      <w:r>
        <w:t xml:space="preserve"> </w:t>
      </w:r>
      <w:r>
        <w:rPr>
          <w:bCs/>
          <w:b/>
        </w:rPr>
        <w:t xml:space="preserve">Case Study</w:t>
      </w:r>
      <w:r>
        <w:t xml:space="preserve">, we highlight how communication barriers were addressed. The clinic employed bilingual staff and provided translated educational materials regarding appliance care, a necessity for an effective</w:t>
      </w:r>
      <w:r>
        <w:t xml:space="preserve"> </w:t>
      </w:r>
      <w:r>
        <w:rPr>
          <w:iCs/>
          <w:i/>
        </w:rPr>
        <w:t xml:space="preserve">Orthodontist</w:t>
      </w:r>
      <w:r>
        <w:t xml:space="preserve"> </w:t>
      </w:r>
      <w:r>
        <w:t xml:space="preserve">serving the multicultural fabric of</w:t>
      </w:r>
      <w:r>
        <w:t xml:space="preserve"> </w:t>
      </w:r>
      <w:r>
        <w:rPr>
          <w:iCs/>
          <w:i/>
        </w:rPr>
        <w:t xml:space="preserve">Australia Melbourne</w:t>
      </w:r>
      <w:r>
        <w:t xml:space="preserve">.</w:t>
      </w:r>
    </w:p>
    <w:p>
      <w:pPr>
        <w:numPr>
          <w:ilvl w:val="0"/>
          <w:numId w:val="1002"/>
        </w:numPr>
        <w:pStyle w:val="Compact"/>
      </w:pPr>
      <w:r>
        <w:rPr>
          <w:bCs/>
          <w:b/>
        </w:rPr>
        <w:t xml:space="preserve">Clinical Complexity:</w:t>
      </w:r>
      <w:r>
        <w:t xml:space="preserve">Treating complex malocclusions requires precision. This review analyzes how the specific structural constraints of older Victorian architecture in central Melbourne influenced clinic setup and equipment availability.</w:t>
      </w:r>
    </w:p>
    <w:bookmarkEnd w:id="29"/>
    <w:bookmarkEnd w:id="30"/>
    <w:bookmarkStart w:id="32" w:name="outcomes"/>
    <w:bookmarkStart w:id="31" w:name="Xe0f32db5a42db5d255629d3c2f05db92b92845d"/>
    <w:p>
      <w:pPr>
        <w:pStyle w:val="Heading2"/>
      </w:pPr>
      <w:r>
        <w:t xml:space="preserve">Treatment Outcomes and Patient Satisfaction</w:t>
      </w:r>
    </w:p>
    <w:p>
      <w:pPr>
        <w:pStyle w:val="FirstParagraph"/>
      </w:pPr>
      <w:r>
        <w:t xml:space="preserve">The results presented in this</w:t>
      </w:r>
      <w:r>
        <w:t xml:space="preserve"> </w:t>
      </w:r>
      <w:r>
        <w:rPr>
          <w:bCs/>
          <w:b/>
        </w:rPr>
        <w:t xml:space="preserve">Case Study</w:t>
      </w:r>
      <w:r>
        <w:t xml:space="preserve"> </w:t>
      </w:r>
      <w:r>
        <w:t xml:space="preserve">are quantifiable. Following 18 months of treatment, the patient achieved a perfect Angle’s Class I occlusion with improved facial aesthetics. However, beyond clinical metrics, the social impact was profound.</w:t>
      </w:r>
    </w:p>
    <w:p>
      <w:pPr>
        <w:pStyle w:val="BodyText"/>
      </w:pPr>
      <w:r>
        <w:t xml:space="preserve">Patient-reported outcome measures (PROMs) indicated a significant increase in self-esteem and social confidence. This aligns with broader research suggesting that orthodontic treatment in</w:t>
      </w:r>
      <w:r>
        <w:t xml:space="preserve"> </w:t>
      </w:r>
      <w:r>
        <w:rPr>
          <w:iCs/>
          <w:i/>
        </w:rPr>
        <w:t xml:space="preserve">Australia Melbourne</w:t>
      </w:r>
      <w:r>
        <w:t xml:space="preserve"> </w:t>
      </w:r>
      <w:r>
        <w:t xml:space="preserve">offers psychosocial benefits that extend far beyond dental health. The patient’s satisfaction scores were particularly high regarding the ease of communication and the modern aesthetic of the clinic, reinforcing the idea that an</w:t>
      </w:r>
      <w:r>
        <w:t xml:space="preserve"> </w:t>
      </w:r>
      <w:r>
        <w:rPr>
          <w:bCs/>
          <w:b/>
        </w:rPr>
        <w:t xml:space="preserve">Orthodontist</w:t>
      </w:r>
      <w:r>
        <w:t xml:space="preserve"> </w:t>
      </w:r>
      <w:r>
        <w:t xml:space="preserve">must now also function as a customer service provider.</w:t>
      </w:r>
    </w:p>
    <w:p>
      <w:pPr>
        <w:pStyle w:val="BodyText"/>
      </w:pPr>
      <w:r>
        <w:t xml:space="preserve">The success of this case underscores why staying ahead of trends is vital for any</w:t>
      </w:r>
      <w:r>
        <w:t xml:space="preserve"> </w:t>
      </w:r>
      <w:r>
        <w:rPr>
          <w:iCs/>
          <w:i/>
        </w:rPr>
        <w:t xml:space="preserve">Australia Melbourne</w:t>
      </w:r>
      <w:r>
        <w:t xml:space="preserve">-based practice.</w:t>
      </w:r>
    </w:p>
    <w:bookmarkEnd w:id="31"/>
    <w:bookmarkEnd w:id="32"/>
    <w:bookmarkStart w:id="37" w:name="implications"/>
    <w:bookmarkStart w:id="36" w:name="X39029c9d4238cb799bf58067876a957a620072e"/>
    <w:p>
      <w:pPr>
        <w:pStyle w:val="Heading2"/>
      </w:pPr>
      <w:r>
        <w:t xml:space="preserve">Implications for Future Orthodontic Practices</w:t>
      </w:r>
    </w:p>
    <w:bookmarkStart w:id="33" w:name="X2b4795d29e9a6a2ae5d9b60bc92afe3c2d76a2a"/>
    <w:p>
      <w:pPr>
        <w:pStyle w:val="Heading3"/>
      </w:pPr>
      <w:r>
        <w:t xml:space="preserve">Standardization and Regulation in Australia Melbourne</w:t>
      </w:r>
    </w:p>
    <w:p>
      <w:pPr>
        <w:pStyle w:val="FirstParagraph"/>
      </w:pPr>
      <w:r>
        <w:t xml:space="preserve">This</w:t>
      </w:r>
      <w:r>
        <w:t xml:space="preserve"> </w:t>
      </w:r>
      <w:r>
        <w:rPr>
          <w:bCs/>
          <w:b/>
        </w:rPr>
        <w:t xml:space="preserve">Case Study</w:t>
      </w:r>
      <w:r>
        <w:t xml:space="preserve"> </w:t>
      </w:r>
      <w:r>
        <w:t xml:space="preserve">highlights the importance of adhering to strict regulatory standards set by the Australian Dental Board. An</w:t>
      </w:r>
      <w:r>
        <w:t xml:space="preserve"> </w:t>
      </w:r>
      <w:r>
        <w:rPr>
          <w:iCs/>
          <w:i/>
        </w:rPr>
        <w:t xml:space="preserve">Orthodontist</w:t>
      </w:r>
      <w:r>
        <w:t xml:space="preserve"> </w:t>
      </w:r>
      <w:r>
        <w:t xml:space="preserve">must navigate not only clinical guidelines but also complex legal frameworks regarding health insurance (Medicare and private rebates) which vary significantly across states. The specific nuances of funding orthodontic treatment in</w:t>
      </w:r>
      <w:r>
        <w:t xml:space="preserve"> </w:t>
      </w:r>
      <w:r>
        <w:rPr>
          <w:iCs/>
          <w:i/>
        </w:rPr>
        <w:t xml:space="preserve">Australia Melbourne</w:t>
      </w:r>
      <w:r>
        <w:t xml:space="preserve"> </w:t>
      </w:r>
      <w:r>
        <w:t xml:space="preserve">require meticulous administrative support.</w:t>
      </w:r>
    </w:p>
    <w:bookmarkEnd w:id="33"/>
    <w:bookmarkStart w:id="34" w:name="the-role-of-technology-and-telehealth"/>
    <w:p>
      <w:pPr>
        <w:pStyle w:val="Heading3"/>
      </w:pPr>
      <w:r>
        <w:t xml:space="preserve">The Role of Technology and Telehealth</w:t>
      </w:r>
    </w:p>
    <w:p>
      <w:pPr>
        <w:pStyle w:val="FirstParagraph"/>
      </w:pPr>
      <w:r>
        <w:t xml:space="preserve">Post-pandemic, there has been a lasting shift towards hybrid models of care. This document suggests that future iterations of this</w:t>
      </w:r>
      <w:r>
        <w:t xml:space="preserve"> </w:t>
      </w:r>
      <w:r>
        <w:rPr>
          <w:bCs/>
          <w:b/>
        </w:rPr>
        <w:t xml:space="preserve">Case Study</w:t>
      </w:r>
      <w:r>
        <w:t xml:space="preserve"> </w:t>
      </w:r>
      <w:r>
        <w:t xml:space="preserve">must account for remote monitoring technologies. An</w:t>
      </w:r>
      <w:r>
        <w:t xml:space="preserve"> </w:t>
      </w:r>
      <w:r>
        <w:rPr>
          <w:iCs/>
          <w:i/>
        </w:rPr>
        <w:t xml:space="preserve">Australia Melbourne</w:t>
      </w:r>
      <w:r>
        <w:t xml:space="preserve">-centric approach now includes apps that allow patients to upload photos of their teeth for the</w:t>
      </w:r>
      <w:r>
        <w:t xml:space="preserve"> </w:t>
      </w:r>
      <w:r>
        <w:rPr>
          <w:bCs/>
          <w:b/>
        </w:rPr>
        <w:t xml:space="preserve">Orthodontist</w:t>
      </w:r>
      <w:r>
        <w:t xml:space="preserve"> </w:t>
      </w:r>
      <w:r>
        <w:t xml:space="preserve">to review remotely, reducing the need for physical visits in a city known for its traffic congestion.</w:t>
      </w:r>
    </w:p>
    <w:bookmarkEnd w:id="34"/>
    <w:bookmarkStart w:id="35" w:name="educational-outreach-and-prevention"/>
    <w:p>
      <w:pPr>
        <w:pStyle w:val="Heading3"/>
      </w:pPr>
      <w:r>
        <w:t xml:space="preserve">Educational Outreach and Prevention</w:t>
      </w:r>
    </w:p>
    <w:p>
      <w:pPr>
        <w:pStyle w:val="FirstParagraph"/>
      </w:pPr>
      <w:r>
        <w:t xml:space="preserve">The findings imply a need for greater educational outreach. An effective</w:t>
      </w:r>
      <w:r>
        <w:t xml:space="preserve"> </w:t>
      </w:r>
      <w:r>
        <w:rPr>
          <w:iCs/>
          <w:i/>
        </w:rPr>
        <w:t xml:space="preserve">Orthodontist</w:t>
      </w:r>
      <w:r>
        <w:t xml:space="preserve"> </w:t>
      </w:r>
      <w:r>
        <w:t xml:space="preserve">in this region acts as an educator first. By partnering with schools across</w:t>
      </w:r>
      <w:r>
        <w:t xml:space="preserve"> </w:t>
      </w:r>
      <w:r>
        <w:rPr>
          <w:iCs/>
          <w:i/>
        </w:rPr>
        <w:t xml:space="preserve">Australia Melbourne</w:t>
      </w:r>
      <w:r>
        <w:t xml:space="preserve">, early screening programs can identify issues before they become complex, reducing the overall burden on specialists and improving long-term oral health outcomes.</w:t>
      </w:r>
    </w:p>
    <w:bookmarkEnd w:id="35"/>
    <w:bookmarkEnd w:id="36"/>
    <w:bookmarkEnd w:id="37"/>
    <w:bookmarkStart w:id="38" w:name="conclusion"/>
    <w:p>
      <w:pPr>
        <w:pStyle w:val="Heading2"/>
      </w:pPr>
      <w:r>
        <w:t xml:space="preserve">Conclusion</w:t>
      </w:r>
    </w:p>
    <w:p>
      <w:pPr>
        <w:pStyle w:val="FirstParagraph"/>
      </w:pPr>
      <w:r>
        <w:t xml:space="preserve">This comprehensive review demonstrates that providing high-quality orthodontic care in</w:t>
      </w:r>
      <w:r>
        <w:t xml:space="preserve"> </w:t>
      </w:r>
      <w:r>
        <w:rPr>
          <w:iCs/>
          <w:i/>
        </w:rPr>
        <w:t xml:space="preserve">Australia Melbourne</w:t>
      </w:r>
      <w:r>
        <w:t xml:space="preserve"> </w:t>
      </w:r>
      <w:r>
        <w:t xml:space="preserve">is a multifaceted endeavor. It is not merely about moving teeth; it involves navigating cultural nuances, socioeconomic disparities, and rapid technological advancements.</w:t>
      </w:r>
    </w:p>
    <w:p>
      <w:pPr>
        <w:pStyle w:val="BodyText"/>
      </w:pPr>
      <w:r>
        <w:t xml:space="preserve">The evidence gathered in this</w:t>
      </w:r>
      <w:r>
        <w:t xml:space="preserve"> </w:t>
      </w:r>
      <w:r>
        <w:rPr>
          <w:bCs/>
          <w:b/>
        </w:rPr>
        <w:t xml:space="preserve">Case Study</w:t>
      </w:r>
      <w:r>
        <w:t xml:space="preserve"> </w:t>
      </w:r>
      <w:r>
        <w:t xml:space="preserve">confirms that the most successful</w:t>
      </w:r>
      <w:r>
        <w:t xml:space="preserve"> </w:t>
      </w:r>
      <w:r>
        <w:rPr>
          <w:iCs/>
          <w:i/>
        </w:rPr>
        <w:t xml:space="preserve">An Orthodontist</w:t>
      </w:r>
      <w:r>
        <w:t xml:space="preserve"> </w:t>
      </w:r>
      <w:r>
        <w:t xml:space="preserve">practices are those that adapt specifically to the dynamic environment of</w:t>
      </w:r>
      <w:r>
        <w:t xml:space="preserve"> </w:t>
      </w:r>
      <w:r>
        <w:rPr>
          <w:iCs/>
          <w:i/>
        </w:rPr>
        <w:t xml:space="preserve">Australia Melbourne</w:t>
      </w:r>
      <w:r>
        <w:t xml:space="preserve">. They integrate advanced technology with empathetic, culturally aware patient care.</w:t>
      </w:r>
    </w:p>
    <w:p>
      <w:pPr>
        <w:pStyle w:val="BodyText"/>
      </w:pPr>
      <w:r>
        <w:t xml:space="preserve">For practitioners looking to replicate these results, this document serves as a blueprint. By focusing on accessibility, communication, and clinical excellence within the unique context of</w:t>
      </w:r>
      <w:r>
        <w:t xml:space="preserve"> </w:t>
      </w:r>
      <w:r>
        <w:rPr>
          <w:iCs/>
          <w:i/>
        </w:rPr>
        <w:t xml:space="preserve">Australia Melbourne</w:t>
      </w:r>
      <w:r>
        <w:t xml:space="preserve">, an</w:t>
      </w:r>
      <w:r>
        <w:t xml:space="preserve"> </w:t>
      </w:r>
      <w:r>
        <w:rPr>
          <w:bCs/>
          <w:b/>
        </w:rPr>
        <w:t xml:space="preserve">Orthodontist</w:t>
      </w:r>
      <w:r>
        <w:t xml:space="preserve"> </w:t>
      </w:r>
      <w:r>
        <w:t xml:space="preserve">can significantly impact patient lives while maintaining a sustainable and thriving practice.</w:t>
      </w:r>
    </w:p>
    <w:p>
      <w:pPr>
        <w:pStyle w:val="BodyText"/>
      </w:pPr>
      <w:r>
        <w:t xml:space="preserve">The future of orthodontics in this vibrant Australian city lies in personalized, tech-enabled care that respects the diverse backgrounds of its population. This concludes our detailed analysis.</w:t>
      </w:r>
    </w:p>
    <w:bookmarkEnd w:id="38"/>
    <w:p>
      <w:pPr>
        <w:pStyle w:val="BodyText"/>
      </w:pPr>
      <w:r>
        <w:t xml:space="preserve">© 2023 Dental Health Review Board |</w:t>
      </w:r>
      <w:r>
        <w:t xml:space="preserve"> </w:t>
      </w:r>
      <w:r>
        <w:rPr>
          <w:bCs/>
          <w:b/>
        </w:rPr>
        <w:t xml:space="preserve">Australia Melbourne Case Studies</w:t>
      </w:r>
      <w:r>
        <w:t xml:space="preserve"> </w:t>
      </w:r>
      <w:r>
        <w:t xml:space="preserve">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Australia Melbourne</dc:title>
  <dc:creator/>
  <dc:language>en</dc:language>
  <cp:keywords/>
  <dcterms:created xsi:type="dcterms:W3CDTF">2026-07-29T17:26:50Z</dcterms:created>
  <dcterms:modified xsi:type="dcterms:W3CDTF">2026-07-29T17:26:50Z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