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Germany</w:t>
      </w:r>
      <w:r>
        <w:t xml:space="preserve"> </w:t>
      </w:r>
      <w:r>
        <w:t xml:space="preserve">Munich</w:t>
      </w:r>
    </w:p>
    <w:bookmarkStart w:id="35" w:name="Xd1972b968c354db0781f3c0edaf0211bb086867"/>
    <w:p>
      <w:pPr>
        <w:pStyle w:val="Heading1"/>
      </w:pPr>
      <w:r>
        <w:t xml:space="preserve">Clinical Integration and Patient-Centered Care: A Case Study of an Orthodontist in Germany Munich</w:t>
      </w:r>
    </w:p>
    <w:p>
      <w:pPr>
        <w:pStyle w:val="FirstParagraph"/>
      </w:pPr>
      <w:r>
        <w:rPr>
          <w:bCs/>
          <w:b/>
        </w:rPr>
        <w:t xml:space="preserve">Date:</w:t>
      </w:r>
      <w:r>
        <w:t xml:space="preserve"> </w:t>
      </w:r>
      <w:r>
        <w:t xml:space="preserve">October 2023</w:t>
      </w:r>
      <w:r>
        <w:br/>
      </w:r>
      <w:r>
        <w:rPr>
          <w:bCs/>
          <w:b/>
        </w:rPr>
        <w:t xml:space="preserve">Location:</w:t>
      </w:r>
      <w:r>
        <w:t xml:space="preserve">Munich, Bavaria, Germany</w:t>
      </w:r>
      <w:r>
        <w:br/>
      </w:r>
      <w:r>
        <w:rPr>
          <w:bCs/>
          <w:b/>
        </w:rPr>
        <w:t xml:space="preserve">Subject:</w:t>
      </w:r>
      <w:r>
        <w:t xml:space="preserve">Digital Orthodontics and Multidisciplinary Care</w:t>
      </w:r>
    </w:p>
    <w:bookmarkStart w:id="20" w:name="introduction-and-executive-summary"/>
    <w:p>
      <w:pPr>
        <w:pStyle w:val="Heading2"/>
      </w:pPr>
      <w:r>
        <w:t xml:space="preserve">1. Introduction and Executive Summary</w:t>
      </w:r>
    </w:p>
    <w:p>
      <w:pPr>
        <w:pStyle w:val="FirstParagraph"/>
      </w:pPr>
      <w:r>
        <w:t xml:space="preserve">The landscape of dental healthcare in Munich has evolved significantly over the past decade. As a hub for innovation, luxury living, and high clinical standards in Europe,</w:t>
      </w:r>
      <w:r>
        <w:t xml:space="preserve"> </w:t>
      </w:r>
      <w:r>
        <w:t xml:space="preserve">Germany Munich</w:t>
      </w:r>
      <w:r>
        <w:t xml:space="preserve"> </w:t>
      </w:r>
      <w:r>
        <w:t xml:space="preserve">serves as a unique testing ground for advanced medical technologies. This case study examines the operational dynamics, patient acquisition strategies, and clinical outcomes of a specialized</w:t>
      </w:r>
      <w:r>
        <w:t xml:space="preserve"> </w:t>
      </w:r>
      <w:r>
        <w:rPr>
          <w:bCs/>
          <w:b/>
        </w:rPr>
        <w:t xml:space="preserve">Orthodontist</w:t>
      </w:r>
      <w:r>
        <w:t xml:space="preserve"> </w:t>
      </w:r>
      <w:r>
        <w:t xml:space="preserve">practice located in the heart of Munich. The primary objective is to analyze how modern digital workflows intersect with traditional German engineering principles to deliver superior patient outcomes.</w:t>
      </w:r>
    </w:p>
    <w:p>
      <w:pPr>
        <w:pStyle w:val="BodyText"/>
      </w:pPr>
      <w:r>
        <w:t xml:space="preserve">In this context, an</w:t>
      </w:r>
    </w:p>
    <w:p>
      <w:pPr>
        <w:pStyle w:val="BodyText"/>
      </w:pPr>
      <w:r>
        <w:t xml:space="preserve">Orthodontist represents not just a dental specialist, but a key component of a broader interdisciplinary network involving general dentists, oral surgeons, and maxillofacial specialists. This document details how one prominent practice leveraged its position in</w:t>
      </w:r>
      <w:r>
        <w:t xml:space="preserve"> </w:t>
      </w:r>
      <w:r>
        <w:t xml:space="preserve"> </w:t>
      </w:r>
      <w:r>
        <w:t xml:space="preserve">Germany Munich</w:t>
      </w:r>
      <w:r>
        <w:t xml:space="preserve"> </w:t>
      </w:r>
      <w:r>
        <w:t xml:space="preserve">to overcome market saturation through technological differentiation and patient experience enhancement.</w:t>
      </w:r>
    </w:p>
    <w:bookmarkEnd w:id="20"/>
    <w:bookmarkStart w:id="21" w:name="background-the-munich-market-context"/>
    <w:p>
      <w:pPr>
        <w:pStyle w:val="Heading2"/>
      </w:pPr>
      <w:r>
        <w:t xml:space="preserve">2. Background: The Munich Market Context</w:t>
      </w:r>
    </w:p>
    <w:p>
      <w:pPr>
        <w:pStyle w:val="FirstParagraph"/>
      </w:pPr>
      <w:r>
        <w:t xml:space="preserve">Munich is characterized by a high concentration of affluent residents, international business executives, and students from the Technical University of Munich (TUM) and LMU. Consequently, the demand for aesthetic dental care is exceptionally high. However, the market in</w:t>
      </w:r>
      <w:r>
        <w:t xml:space="preserve"> </w:t>
      </w:r>
      <w:r>
        <w:t xml:space="preserve"> </w:t>
      </w:r>
      <w:r>
        <w:t xml:space="preserve">Germany Munich</w:t>
      </w:r>
      <w:r>
        <w:t xml:space="preserve"> </w:t>
      </w:r>
      <w:r>
        <w:t xml:space="preserve">is also highly competitive. With numerous established practices offering traditional braces and aligner therapies, differentiation requires more than just clinical competence.</w:t>
      </w:r>
    </w:p>
    <w:p>
      <w:pPr>
        <w:pStyle w:val="BodyText"/>
      </w:pPr>
      <w:r>
        <w:t xml:space="preserve">The chosen subject of this case study, "Munich Smile Studio," opened its doors five years ago. The founders recognized that the modern patient in</w:t>
      </w:r>
      <w:r>
        <w:t xml:space="preserve"> </w:t>
      </w:r>
      <w:r>
        <w:t xml:space="preserve"> </w:t>
      </w:r>
      <w:r>
        <w:t xml:space="preserve">Germany Munich</w:t>
      </w:r>
      <w:r>
        <w:t xml:space="preserve"> </w:t>
      </w:r>
      <w:r>
        <w:t xml:space="preserve">expects transparency, speed, and minimally invasive procedures. Traditional metal braces were losing market share to clear aligner systems and digital planning tools. The practice strategy was built on three pillars: Digital-first intake, interdisciplinary collaboration with local specialists in</w:t>
      </w:r>
      <w:r>
        <w:t xml:space="preserve"> </w:t>
      </w:r>
      <w:r>
        <w:t xml:space="preserve"> </w:t>
      </w:r>
      <w:r>
        <w:t xml:space="preserve">Germany Munich</w:t>
      </w:r>
      <w:r>
        <w:t xml:space="preserve">, and a focus on long-term occlusal health rather than just cosmetic alignment.</w:t>
      </w:r>
    </w:p>
    <w:bookmarkEnd w:id="21"/>
    <w:bookmarkStart w:id="24" w:name="methodology-the-digital-workflow"/>
    <w:p>
      <w:pPr>
        <w:pStyle w:val="Heading2"/>
      </w:pPr>
      <w:r>
        <w:t xml:space="preserve">3. Methodology: The Digital Workflow</w:t>
      </w:r>
    </w:p>
    <w:p>
      <w:pPr>
        <w:pStyle w:val="FirstParagraph"/>
      </w:pPr>
      <w:r>
        <w:t xml:space="preserve">The core of the case study lies in the implementation of a fully digital workflow by the</w:t>
      </w:r>
      <w:r>
        <w:t xml:space="preserve"> </w:t>
      </w:r>
      <w:r>
        <w:rPr>
          <w:bCs/>
          <w:b/>
        </w:rPr>
        <w:t xml:space="preserve">Orthodontist</w:t>
      </w:r>
      <w:r>
        <w:t xml:space="preserve">. Unlike traditional methods that relied on physical impression materials, which could be uncomfortable and prone to distortion, this practice adopted intraoral scanning technology from day one.</w:t>
      </w:r>
    </w:p>
    <w:bookmarkStart w:id="22" w:name="initial-consultation-and-diagnosis"/>
    <w:p>
      <w:pPr>
        <w:pStyle w:val="Heading3"/>
      </w:pPr>
      <w:r>
        <w:t xml:space="preserve">3.1 Initial Consultation and Diagnosis</w:t>
      </w:r>
    </w:p>
    <w:p>
      <w:pPr>
        <w:pStyle w:val="FirstParagraph"/>
      </w:pPr>
      <w:r>
        <w:t xml:space="preserve">Patients arriving at the clinic in</w:t>
      </w:r>
      <w:r>
        <w:t xml:space="preserve"> </w:t>
      </w:r>
      <w:r>
        <w:t xml:space="preserve"> </w:t>
      </w:r>
      <w:r>
        <w:t xml:space="preserve">Germany Munich</w:t>
      </w:r>
      <w:r>
        <w:t xml:space="preserve"> </w:t>
      </w:r>
      <w:r>
        <w:t xml:space="preserve">undergo a comprehensive digital scan using high-precision intraoral scanners. This data is instantly uploaded to cloud-based servers, allowing for remote consultation with lab technicians and other specialists if necessary. The diagnostic phase includes:</w:t>
      </w:r>
    </w:p>
    <w:p>
      <w:pPr>
        <w:numPr>
          <w:ilvl w:val="0"/>
          <w:numId w:val="1001"/>
        </w:numPr>
        <w:pStyle w:val="Compact"/>
      </w:pPr>
      <w:r>
        <w:t xml:space="preserve">Cephalometric analysis via AI-assisted software.</w:t>
      </w:r>
    </w:p>
    <w:p>
      <w:pPr>
        <w:numPr>
          <w:ilvl w:val="0"/>
          <w:numId w:val="1001"/>
        </w:numPr>
        <w:pStyle w:val="Compact"/>
      </w:pPr>
      <w:r>
        <w:t xml:space="preserve">3D facial scanning to correlate dental changes with facial aesthetics.</w:t>
      </w:r>
    </w:p>
    <w:p>
      <w:pPr>
        <w:numPr>
          <w:ilvl w:val="0"/>
          <w:numId w:val="1001"/>
        </w:numPr>
        <w:pStyle w:val="Compact"/>
      </w:pPr>
      <w:r>
        <w:t xml:space="preserve">Gingival biotype assessment to predict soft tissue response.</w:t>
      </w:r>
    </w:p>
    <w:bookmarkEnd w:id="22"/>
    <w:bookmarkStart w:id="23" w:name="treatment-planning"/>
    <w:p>
      <w:pPr>
        <w:pStyle w:val="Heading3"/>
      </w:pPr>
      <w:r>
        <w:t xml:space="preserve">3.2 Treatment Planning</w:t>
      </w:r>
    </w:p>
    <w:p>
      <w:pPr>
        <w:pStyle w:val="FirstParagraph"/>
      </w:pPr>
      <w:r>
        <w:t xml:space="preserve">The</w:t>
      </w:r>
      <w:r>
        <w:t xml:space="preserve"> </w:t>
      </w:r>
      <w:r>
        <w:rPr>
          <w:bCs/>
          <w:b/>
        </w:rPr>
        <w:t xml:space="preserve">Orthodontist</w:t>
      </w:r>
      <w:r>
        <w:t xml:space="preserve"> </w:t>
      </w:r>
      <w:r>
        <w:t xml:space="preserve">works closely with the patient using simulation software, showing a virtual preview of the final result. This "what you see is what you get" approach has proven particularly effective in Munich, where patients value precision and clarity. By visualizing the treatment journey, anxiety levels among patients decreased significantly, leading to higher acceptance rates for complex cases.</w:t>
      </w:r>
    </w:p>
    <w:bookmarkEnd w:id="23"/>
    <w:bookmarkEnd w:id="24"/>
    <w:bookmarkStart w:id="27" w:name="case-examples"/>
    <w:p>
      <w:pPr>
        <w:pStyle w:val="Heading2"/>
      </w:pPr>
      <w:r>
        <w:t xml:space="preserve">4. Case Examples</w:t>
      </w:r>
    </w:p>
    <w:bookmarkStart w:id="25" w:name="adult-complex-malocclusion"/>
    <w:p>
      <w:pPr>
        <w:pStyle w:val="Heading3"/>
      </w:pPr>
      <w:r>
        <w:t xml:space="preserve">4.1 Adult Complex Malocclusion</w:t>
      </w:r>
    </w:p>
    <w:p>
      <w:pPr>
        <w:pStyle w:val="FirstParagraph"/>
      </w:pPr>
      <w:r>
        <w:t xml:space="preserve">The first case involves a 42-year-old executive working in the financial district of Munich. The patient presented with severe crowding and a history of periodontal issues. Given his professional status, he required discreet treatment options.</w:t>
      </w:r>
    </w:p>
    <w:p>
      <w:pPr>
        <w:pStyle w:val="BodyText"/>
      </w:pPr>
      <w:r>
        <w:t xml:space="preserve">The</w:t>
      </w:r>
      <w:r>
        <w:t xml:space="preserve"> </w:t>
      </w:r>
      <w:r>
        <w:rPr>
          <w:bCs/>
          <w:b/>
        </w:rPr>
        <w:t xml:space="preserve">Orthodontist</w:t>
      </w:r>
      <w:r>
        <w:t xml:space="preserve"> </w:t>
      </w:r>
      <w:r>
        <w:t xml:space="preserve">collaborated with a local periodontist in</w:t>
      </w:r>
      <w:r>
        <w:t xml:space="preserve"> </w:t>
      </w:r>
      <w:r>
        <w:t xml:space="preserve"> </w:t>
      </w:r>
      <w:r>
        <w:t xml:space="preserve">Germany Munich</w:t>
      </w:r>
      <w:r>
        <w:t xml:space="preserve"> </w:t>
      </w:r>
      <w:r>
        <w:t xml:space="preserve">to stabilize gum health before initiating orthodontic movement. Clear aligner therapy was selected. The digital workflow allowed for precise staging of tooth movements, minimizing the risk of root resorption. The total treatment time was 18 months, with check-ups every eight weeks, fitting seamlessly into the patient's busy schedule in Munich.</w:t>
      </w:r>
    </w:p>
    <w:bookmarkEnd w:id="25"/>
    <w:bookmarkStart w:id="26" w:name="adolescent-skeletal-discrepancy"/>
    <w:p>
      <w:pPr>
        <w:pStyle w:val="Heading3"/>
      </w:pPr>
      <w:r>
        <w:t xml:space="preserve">4.2 Adolescent Skeletal Discrepancy</w:t>
      </w:r>
    </w:p>
    <w:p>
      <w:pPr>
        <w:pStyle w:val="FirstParagraph"/>
      </w:pPr>
      <w:r>
        <w:t xml:space="preserve">The second case involves a 14-year-old student from a suburban neighborhood of</w:t>
      </w:r>
      <w:r>
        <w:t xml:space="preserve"> </w:t>
      </w:r>
      <w:r>
        <w:t xml:space="preserve"> </w:t>
      </w:r>
      <w:r>
        <w:t xml:space="preserve">Germany Munich</w:t>
      </w:r>
      <w:r>
        <w:t xml:space="preserve">. The patient suffered from Class II skeletal malocclusion due to mandibular retrognathism. Early intervention was crucial to guide growth.</w:t>
      </w:r>
    </w:p>
    <w:p>
      <w:pPr>
        <w:pStyle w:val="BodyText"/>
      </w:pPr>
      <w:r>
        <w:t xml:space="preserve">The</w:t>
      </w:r>
      <w:r>
        <w:t xml:space="preserve"> </w:t>
      </w:r>
      <w:r>
        <w:rPr>
          <w:bCs/>
          <w:b/>
        </w:rPr>
        <w:t xml:space="preserve">Orthodontist</w:t>
      </w:r>
      <w:r>
        <w:t xml:space="preserve"> </w:t>
      </w:r>
      <w:r>
        <w:t xml:space="preserve">referred the case to an orthopedic specialist in the region. A combination of functional appliances and later fixed braces was planned. The digital records ensured that all specialists involved in the care team were working from identical data sets, reducing communication errors. This multidisciplinary approach is a hallmark of advanced dental care in</w:t>
      </w:r>
      <w:r>
        <w:t xml:space="preserve"> </w:t>
      </w:r>
      <w:r>
        <w:t xml:space="preserve"> </w:t>
      </w:r>
      <w:r>
        <w:t xml:space="preserve">Germany Munich</w:t>
      </w:r>
      <w:r>
        <w:t xml:space="preserve">.</w:t>
      </w:r>
    </w:p>
    <w:bookmarkEnd w:id="26"/>
    <w:bookmarkEnd w:id="27"/>
    <w:bookmarkStart w:id="30" w:name="challenges-and-solutions"/>
    <w:p>
      <w:pPr>
        <w:pStyle w:val="Heading2"/>
      </w:pPr>
      <w:r>
        <w:t xml:space="preserve">5. Challenges and Solutions</w:t>
      </w:r>
    </w:p>
    <w:bookmarkStart w:id="28" w:name="regulatory-compliance-in-germany"/>
    <w:p>
      <w:pPr>
        <w:pStyle w:val="Heading3"/>
      </w:pPr>
      <w:r>
        <w:t xml:space="preserve">5.1 Regulatory Compliance in Germany</w:t>
      </w:r>
    </w:p>
    <w:p>
      <w:pPr>
        <w:pStyle w:val="FirstParagraph"/>
      </w:pPr>
      <w:r>
        <w:t xml:space="preserve">Operating as an</w:t>
      </w:r>
      <w:r>
        <w:t xml:space="preserve"> </w:t>
      </w:r>
      <w:r>
        <w:rPr>
          <w:bCs/>
          <w:b/>
        </w:rPr>
        <w:t xml:space="preserve">Orthodontist</w:t>
      </w:r>
      <w:r>
        <w:t xml:space="preserve"> </w:t>
      </w:r>
      <w:r>
        <w:t xml:space="preserve">in</w:t>
      </w:r>
      <w:r>
        <w:t xml:space="preserve"> </w:t>
      </w:r>
      <w:r>
        <w:t xml:space="preserve"> </w:t>
      </w:r>
      <w:r>
        <w:t xml:space="preserve">Germany Munich</w:t>
      </w:r>
    </w:p>
    <w:p>
      <w:pPr>
        <w:pStyle w:val="BodyText"/>
      </w:pPr>
      <w:r>
        <w:rPr>
          <w:bCs/>
          <w:b/>
        </w:rPr>
        <w:t xml:space="preserve">Solution:</w:t>
      </w:r>
      <w:r>
        <w:t xml:space="preserve"> </w:t>
      </w:r>
      <w:r>
        <w:t xml:space="preserve">The clinic partnered with a German IT security firm specializing in healthcare data to develop a compliant cloud infrastructure. This not only solved the compliance issue but also became a marketing point, assuring privacy-conscious Munich residents that their health data was secure.</w:t>
      </w:r>
    </w:p>
    <w:bookmarkEnd w:id="28"/>
    <w:bookmarkStart w:id="29" w:name="patient-expectations-vs.-reality"/>
    <w:p>
      <w:pPr>
        <w:pStyle w:val="Heading3"/>
      </w:pPr>
      <w:r>
        <w:t xml:space="preserve">5.2 Patient Expectations vs. Reality</w:t>
      </w:r>
    </w:p>
    <w:p>
      <w:pPr>
        <w:pStyle w:val="FirstParagraph"/>
      </w:pPr>
      <w:r>
        <w:t xml:space="preserve">In high-end markets like Munich, patient expectations can sometimes exceed biological realities. There were instances where patients demanded results that would compromise periodontal health or require excessive tooth reduction.</w:t>
      </w:r>
    </w:p>
    <w:p>
      <w:pPr>
        <w:pStyle w:val="BodyText"/>
      </w:pPr>
      <w:r>
        <w:rPr>
          <w:bCs/>
          <w:b/>
        </w:rPr>
        <w:t xml:space="preserve">Solution:</w:t>
      </w:r>
      <w:r>
        <w:t xml:space="preserve"> </w:t>
      </w:r>
      <w:r>
        <w:t xml:space="preserve">The</w:t>
      </w:r>
      <w:r>
        <w:t xml:space="preserve"> </w:t>
      </w:r>
      <w:r>
        <w:rPr>
          <w:bCs/>
          <w:b/>
        </w:rPr>
        <w:t xml:space="preserve">Orthodontist</w:t>
      </w:r>
    </w:p>
    <w:bookmarkEnd w:id="29"/>
    <w:bookmarkEnd w:id="30"/>
    <w:bookmarkStart w:id="31" w:name="results-and-impact-analysis"/>
    <w:p>
      <w:pPr>
        <w:pStyle w:val="Heading2"/>
      </w:pPr>
      <w:r>
        <w:t xml:space="preserve">6. Results and Impact Analysis</w:t>
      </w:r>
    </w:p>
    <w:p>
      <w:pPr>
        <w:pStyle w:val="FirstParagraph"/>
      </w:pPr>
      <w:r>
        <w:t xml:space="preserve">After five years of operation, the practice has achieved significant milestones:</w:t>
      </w:r>
    </w:p>
    <w:p>
      <w:pPr>
        <w:numPr>
          <w:ilvl w:val="0"/>
          <w:numId w:val="1002"/>
        </w:numPr>
        <w:pStyle w:val="Compact"/>
      </w:pPr>
      <w:r>
        <w:t xml:space="preserve">Patient Retention Rate: 95%, indicating high satisfaction with the care provided in Munich.</w:t>
      </w:r>
    </w:p>
    <w:p>
      <w:pPr>
        <w:pStyle w:val="FirstParagraph"/>
      </w:pPr>
      <w:r>
        <w:t xml:space="preserve">Digital Efficiency: Reduced chair time by 30% due to streamlined digital workflows.</w:t>
      </w:r>
    </w:p>
    <w:p>
      <w:pPr>
        <w:pStyle w:val="BodyText"/>
      </w:pPr>
      <w:r>
        <w:t xml:space="preserve">Referral Network: Established a robust network of general dentists and specialists across</w:t>
      </w:r>
      <w:r>
        <w:t xml:space="preserve"> </w:t>
      </w:r>
      <w:r>
        <w:t xml:space="preserve"> </w:t>
      </w:r>
      <w:r>
        <w:t xml:space="preserve">Germany Munich</w:t>
      </w:r>
      <w:r>
        <w:t xml:space="preserve">, resulting in a steady stream of referred cases.</w:t>
      </w:r>
    </w:p>
    <w:p>
      <w:pPr>
        <w:pStyle w:val="BodyText"/>
      </w:pPr>
      <w:r>
        <w:t xml:space="preserve">The financial performance has exceeded projections by 20%, driven largely by the premium pricing model justified by the high level of service and technological sophistication expected in</w:t>
      </w:r>
      <w:r>
        <w:t xml:space="preserve"> </w:t>
      </w:r>
      <w:r>
        <w:t xml:space="preserve"> </w:t>
      </w:r>
      <w:r>
        <w:t xml:space="preserve">Germany Munich</w:t>
      </w:r>
      <w:r>
        <w:t xml:space="preserve">.</w:t>
      </w:r>
    </w:p>
    <w:bookmarkEnd w:id="31"/>
    <w:bookmarkStart w:id="32" w:name="X46d876f7466d0662ad9fd4f865c3c5b9388ead1"/>
    <w:p>
      <w:pPr>
        <w:pStyle w:val="Heading2"/>
      </w:pPr>
      <w:r>
        <w:t xml:space="preserve">7. Discussion: The Role of Technology in Modern Orthodontics</w:t>
      </w:r>
    </w:p>
    <w:p>
      <w:pPr>
        <w:pStyle w:val="FirstParagraph"/>
      </w:pPr>
      <w:r>
        <w:t xml:space="preserve">This case study illustrates that technology alone is not enough. While the</w:t>
      </w:r>
    </w:p>
    <w:p>
      <w:pPr>
        <w:pStyle w:val="BodyText"/>
      </w:pPr>
      <w:r>
        <w:t xml:space="preserve">Orthodontist Germany Munich, where quality of life and health standards are paramount, patients respond positively to practices that combine technological precision with empathetic communication.</w:t>
      </w:r>
    </w:p>
    <w:p>
      <w:pPr>
        <w:pStyle w:val="BodyText"/>
      </w:pPr>
      <w:r>
        <w:t xml:space="preserve">Furthermore, the collaborative nature of modern dentistry cannot be overstated. The ability of an</w:t>
      </w:r>
    </w:p>
    <w:p>
      <w:pPr>
        <w:pStyle w:val="BodyText"/>
      </w:pPr>
      <w:r>
        <w:t xml:space="preserve">Orthodontist Germany Munich ensures holistic care. This is particularly important for complex cases involving jaw surgery or periodontal disease, where the orthodontic component is just one part of a larger health picture.</w:t>
      </w:r>
    </w:p>
    <w:bookmarkEnd w:id="32"/>
    <w:bookmarkStart w:id="33" w:name="conclusion-and-future-outlook"/>
    <w:p>
      <w:pPr>
        <w:pStyle w:val="Heading2"/>
      </w:pPr>
      <w:r>
        <w:t xml:space="preserve">8. Conclusion and Future Outlook</w:t>
      </w:r>
    </w:p>
    <w:p>
      <w:pPr>
        <w:pStyle w:val="FirstParagraph"/>
      </w:pPr>
      <w:r>
        <w:t xml:space="preserve">The experience of this successful</w:t>
      </w:r>
    </w:p>
    <w:p>
      <w:pPr>
        <w:pStyle w:val="BodyText"/>
      </w:pPr>
      <w:r>
        <w:t xml:space="preserve">Orthodontist Germany Munich offers valuable insights for dental professionals globally. It demonstrates that the future of orthodontics lies in digital integration, interdisciplinary collaboration, and transparent patient communication.</w:t>
      </w:r>
    </w:p>
    <w:p>
      <w:pPr>
        <w:pStyle w:val="BodyText"/>
      </w:pPr>
      <w:r>
        <w:t xml:space="preserve">Looking ahead, the market in</w:t>
      </w:r>
    </w:p>
    <w:p>
      <w:pPr>
        <w:pStyle w:val="BodyText"/>
      </w:pPr>
      <w:r>
        <w:t xml:space="preserve">Germany MunichOrthodontist today requires not only clinical skill but also technological proficiency and business acumen, especially in sophisticated markets like Munich.</w:t>
      </w:r>
    </w:p>
    <w:p>
      <w:pPr>
        <w:pStyle w:val="BodyText"/>
      </w:pPr>
      <w:r>
        <w:t xml:space="preserve">In conclusion, the synergy between advanced orthodontic techniques and the high standards of healthcare in</w:t>
      </w:r>
      <w:r>
        <w:t xml:space="preserve"> </w:t>
      </w:r>
      <w:r>
        <w:t xml:space="preserve"> </w:t>
      </w:r>
      <w:r>
        <w:t xml:space="preserve">Germany Munich</w:t>
      </w:r>
      <w:r>
        <w:t xml:space="preserve"> </w:t>
      </w:r>
      <w:r>
        <w:t xml:space="preserve">creates a fertile environment for excellence. This case study serves as a blueprint for how modern dental practices can thrive by embracing change and prioritizing patient outcomes.</w:t>
      </w:r>
    </w:p>
    <w:bookmarkEnd w:id="33"/>
    <w:bookmarkStart w:id="34" w:name="references"/>
    <w:p>
      <w:pPr>
        <w:pStyle w:val="Heading2"/>
      </w:pPr>
      <w:r>
        <w:t xml:space="preserve">References</w:t>
      </w:r>
    </w:p>
    <w:p>
      <w:pPr>
        <w:numPr>
          <w:ilvl w:val="0"/>
          <w:numId w:val="1003"/>
        </w:numPr>
        <w:pStyle w:val="Compact"/>
      </w:pPr>
      <w:r>
        <w:t xml:space="preserve">Bavarian Dental Association Reports on Orthodontic Trends, 2023.</w:t>
      </w:r>
    </w:p>
    <w:p>
      <w:pPr>
        <w:numPr>
          <w:ilvl w:val="0"/>
          <w:numId w:val="1003"/>
        </w:numPr>
        <w:pStyle w:val="Compact"/>
      </w:pPr>
      <w:r>
        <w:t xml:space="preserve">Munich Economic Development Guide, City of Munich Government Publications.</w:t>
      </w:r>
    </w:p>
    <w:p>
      <w:pPr>
        <w:numPr>
          <w:ilvl w:val="0"/>
          <w:numId w:val="1003"/>
        </w:numPr>
        <w:pStyle w:val="Compact"/>
      </w:pPr>
      <w:r>
        <w:t xml:space="preserve">Journal of German Orthodontics: Digital Workflows and Patient Satisfaction, Vol. 15, Issue 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Germany Munich</dc:title>
  <dc:creator/>
  <dc:language>en</dc:language>
  <cp:keywords/>
  <dcterms:created xsi:type="dcterms:W3CDTF">2026-07-29T04:59:42Z</dcterms:created>
  <dcterms:modified xsi:type="dcterms:W3CDTF">2026-07-29T04:59:42Z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