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Indonesia</w:t>
      </w:r>
      <w:r>
        <w:t xml:space="preserve"> </w:t>
      </w:r>
      <w:r>
        <w:t xml:space="preserve">Jakarta</w:t>
      </w:r>
    </w:p>
    <w:bookmarkStart w:id="29" w:name="Xc8554152717651a106137e27c5f24389bb30a08"/>
    <w:p>
      <w:pPr>
        <w:pStyle w:val="Heading1"/>
      </w:pPr>
      <w:r>
        <w:t xml:space="preserve">Bridging Tradition and Technology:</w:t>
      </w:r>
      <w:r>
        <w:br/>
      </w:r>
      <w:r>
        <w:t xml:space="preserve">A Strategic Case Study of Orthodontist Practices in Indonesia Jakarta</w:t>
      </w:r>
    </w:p>
    <w:p>
      <w:pPr>
        <w:pStyle w:val="FirstParagraph"/>
      </w:pPr>
      <w:r>
        <w:t xml:space="preserve">The rapid urbanization and economic growth of Southeast Asia have created a booming market for specialized healthcare services. Among these, dental care has seen a significant surge in demand, particularly regarding aesthetic improvements. This case study explores the evolving landscape of the</w:t>
      </w:r>
      <w:r>
        <w:t xml:space="preserve"> </w:t>
      </w:r>
      <w:r>
        <w:rPr>
          <w:bCs/>
          <w:b/>
        </w:rPr>
        <w:t xml:space="preserve">Orthodontist</w:t>
      </w:r>
      <w:r>
        <w:t xml:space="preserve"> </w:t>
      </w:r>
      <w:r>
        <w:t xml:space="preserve">profession within one of Asia's most dynamic metropolitan hubs:</w:t>
      </w:r>
      <w:r>
        <w:t xml:space="preserve"> </w:t>
      </w:r>
      <w:r>
        <w:rPr>
          <w:bCs/>
          <w:b/>
        </w:rPr>
        <w:t xml:space="preserve">Indonesia Jakarta</w:t>
      </w:r>
      <w:r>
        <w:t xml:space="preserve">. By analyzing market trends, patient demographics, technological integration, and competitive strategies, we aim to understand how modern orthodontic practices are navigating the complexities of this high-density urban environment.</w:t>
      </w:r>
    </w:p>
    <w:bookmarkStart w:id="20" w:name="the-urban-context-why-indonesia-jakarta"/>
    <w:p>
      <w:pPr>
        <w:pStyle w:val="Heading2"/>
      </w:pPr>
      <w:r>
        <w:t xml:space="preserve">The Urban Context: Why Indonesia Jakarta?</w:t>
      </w:r>
    </w:p>
    <w:p>
      <w:pPr>
        <w:pStyle w:val="FirstParagraph"/>
      </w:pPr>
      <w:r>
        <w:rPr>
          <w:bCs/>
          <w:b/>
        </w:rPr>
        <w:t xml:space="preserve">Indonesia Jakarta</w:t>
      </w:r>
      <w:r>
        <w:t xml:space="preserve"> </w:t>
      </w:r>
      <w:r>
        <w:t xml:space="preserve">serves as the economic and cultural heart of Indonesia. With a population exceeding ten million people within the city proper and over thirty million in the greater metropolitan area (Jabodetabek), it represents one of the largest consumer markets in Southeast Asia. The rise of a burgeoning middle class, coupled with an increasing emphasis on personal branding and social media presence, has dramatically shifted public perception regarding dental aesthetics.</w:t>
      </w:r>
    </w:p>
    <w:p>
      <w:pPr>
        <w:pStyle w:val="BodyText"/>
      </w:pPr>
      <w:r>
        <w:t xml:space="preserve">In recent years, having a straight smile has transitioned from a medical necessity to a lifestyle choice and even a professional asset. In</w:t>
      </w:r>
      <w:r>
        <w:t xml:space="preserve"> </w:t>
      </w:r>
      <w:r>
        <w:rPr>
          <w:bCs/>
          <w:b/>
        </w:rPr>
        <w:t xml:space="preserve">Indonesia Jakarta</w:t>
      </w:r>
      <w:r>
        <w:t xml:space="preserve">, where face-to-face interactions in business and social settings are highly valued, the confidence derived from an orthodontic transformation is immense. Consequently, the demand for high-quality orthodontic services has skyrocketed, creating both opportunities and challenges for practitioners.</w:t>
      </w:r>
    </w:p>
    <w:bookmarkEnd w:id="20"/>
    <w:bookmarkStart w:id="21" w:name="X77bcdfd49480124c11ff35e2dd0c2f582a9e572"/>
    <w:p>
      <w:pPr>
        <w:pStyle w:val="Heading2"/>
      </w:pPr>
      <w:r>
        <w:t xml:space="preserve">Patient Demographics and Behavioral Shifts</w:t>
      </w:r>
    </w:p>
    <w:p>
      <w:pPr>
        <w:pStyle w:val="FirstParagraph"/>
      </w:pPr>
      <w:r>
        <w:t xml:space="preserve">The primary demographic driving this growth in</w:t>
      </w:r>
      <w:r>
        <w:t xml:space="preserve"> </w:t>
      </w:r>
      <w:r>
        <w:rPr>
          <w:bCs/>
          <w:b/>
        </w:rPr>
        <w:t xml:space="preserve">Indonesia Jakarta</w:t>
      </w:r>
      <w:r>
        <w:t xml:space="preserve"> </w:t>
      </w:r>
      <w:r>
        <w:t xml:space="preserve">consists of Gen Z and Millennials aged between 16 and 35. This group is digital-native, highly influenced by social media platforms such as Instagram, TikTok, and local forums like Kaskus. They are not only seeking functional improvements but also aesthetic enhancements that align with global beauty standards.</w:t>
      </w:r>
    </w:p>
    <w:p>
      <w:pPr>
        <w:pStyle w:val="BodyText"/>
      </w:pPr>
      <w:r>
        <w:t xml:space="preserve">However, the patient profile is diverse. While younger patients seek Invisalign or clear aligners for discretion and convenience, there is a growing segment of adult professionals in</w:t>
      </w:r>
      <w:r>
        <w:t xml:space="preserve"> </w:t>
      </w:r>
      <w:r>
        <w:rPr>
          <w:bCs/>
          <w:b/>
        </w:rPr>
        <w:t xml:space="preserve">Indonesia Jakarta</w:t>
      </w:r>
      <w:r>
        <w:t xml:space="preserve"> </w:t>
      </w:r>
      <w:r>
        <w:t xml:space="preserve">who previously delayed treatment due to cost or stigma but are now prioritizing their health and appearance. This shift has forced orthodontic clinics to diversify their service offerings, moving away from a one-size-fits-all approach.</w:t>
      </w:r>
    </w:p>
    <w:bookmarkEnd w:id="21"/>
    <w:bookmarkStart w:id="22" w:name="the-role-of-the-modern-orthodontist"/>
    <w:p>
      <w:pPr>
        <w:pStyle w:val="Heading2"/>
      </w:pPr>
      <w:r>
        <w:t xml:space="preserve">The Role of the Modern Orthodontist</w:t>
      </w:r>
    </w:p>
    <w:p>
      <w:pPr>
        <w:pStyle w:val="FirstParagraph"/>
      </w:pPr>
      <w:r>
        <w:t xml:space="preserve">An</w:t>
      </w:r>
      <w:r>
        <w:t xml:space="preserve"> </w:t>
      </w:r>
      <w:r>
        <w:rPr>
          <w:bCs/>
          <w:b/>
        </w:rPr>
        <w:t xml:space="preserve">Orthodontist</w:t>
      </w:r>
      <w:r>
        <w:t xml:space="preserve"> </w:t>
      </w:r>
      <w:r>
        <w:t xml:space="preserve">in</w:t>
      </w:r>
      <w:r>
        <w:t xml:space="preserve"> </w:t>
      </w:r>
      <w:r>
        <w:rPr>
          <w:bCs/>
          <w:b/>
        </w:rPr>
        <w:t xml:space="preserve">Indonesia Jakarta</w:t>
      </w:r>
    </w:p>
    <w:p>
      <w:pPr>
        <w:pStyle w:val="BodyText"/>
      </w:pPr>
      <w:r>
        <w:t xml:space="preserve">The integration of digital workflow is critical in</w:t>
      </w:r>
      <w:r>
        <w:t xml:space="preserve"> </w:t>
      </w:r>
      <w:r>
        <w:rPr>
          <w:bCs/>
          <w:b/>
        </w:rPr>
        <w:t xml:space="preserve">Indonesia Jakarta</w:t>
      </w:r>
      <w:r>
        <w:t xml:space="preserve">. Traditional plaster models are being replaced by digital impressions, which offer greater comfort for patients and higher precision for the orthodontist. This technological adoption allows for better communication between the dentist, the lab technicians, and the patient. For instance, an</w:t>
      </w:r>
      <w:r>
        <w:t xml:space="preserve"> </w:t>
      </w:r>
      <w:r>
        <w:rPr>
          <w:bCs/>
          <w:b/>
        </w:rPr>
        <w:t xml:space="preserve">Orthodontist</w:t>
      </w:r>
      <w:r>
        <w:t xml:space="preserve"> </w:t>
      </w:r>
      <w:r>
        <w:t xml:space="preserve">can now show a patient in</w:t>
      </w:r>
    </w:p>
    <w:p>
      <w:pPr>
        <w:pStyle w:val="BodyText"/>
      </w:pPr>
      <w:r>
        <w:t xml:space="preserve">Indonesia Jakarta</w:t>
      </w:r>
    </w:p>
    <w:p>
      <w:pPr>
        <w:pStyle w:val="BodyText"/>
      </w:pPr>
      <w:r>
        <w:t xml:space="preserve">, a simulated result of their treatment before even starting, thereby increasing trust and reducing anxiety.</w:t>
      </w:r>
    </w:p>
    <w:bookmarkEnd w:id="22"/>
    <w:bookmarkStart w:id="23" w:name="X67f3d78b7f504945be73d6d9b38526ba99de7bb"/>
    <w:p>
      <w:pPr>
        <w:pStyle w:val="Heading2"/>
      </w:pPr>
      <w:r>
        <w:t xml:space="preserve">Treatment Modalities: Metal vs. Clear Aligners</w:t>
      </w:r>
    </w:p>
    <w:p>
      <w:pPr>
        <w:pStyle w:val="FirstParagraph"/>
      </w:pPr>
      <w:r>
        <w:t xml:space="preserve">The competition between traditional metal braces and clear aligner systems (such as Invisalign or local equivalents) is fierce in</w:t>
      </w:r>
      <w:r>
        <w:t xml:space="preserve"> </w:t>
      </w:r>
      <w:r>
        <w:rPr>
          <w:bCs/>
          <w:b/>
        </w:rPr>
        <w:t xml:space="preserve">Indonesia Jakarta</w:t>
      </w:r>
      <w:r>
        <w:t xml:space="preserve">. While clear aligners are popular among the urban elite due to their aesthetics, they come at a premium price point. This has led many practices to adopt a tiered pricing strategy.</w:t>
      </w:r>
    </w:p>
    <w:p>
      <w:pPr>
        <w:pStyle w:val="BodyText"/>
      </w:pPr>
      <w:r>
        <w:t xml:space="preserve">The</w:t>
      </w:r>
      <w:r>
        <w:t xml:space="preserve"> </w:t>
      </w:r>
      <w:r>
        <w:rPr>
          <w:bCs/>
          <w:b/>
        </w:rPr>
        <w:t xml:space="preserve">Orthodontist</w:t>
      </w:r>
      <w:r>
        <w:t xml:space="preserve"> </w:t>
      </w:r>
      <w:r>
        <w:t xml:space="preserve">plays a pivotal role here in guiding patients toward suitable options based on clinical needs rather than just marketing pressure. For complex malocclusions common in certain Asian ethnicities, traditional fixed appliances may still offer superior predictability and cost-efficiency. Therefore, the modern orthodontist must possess deep technical expertise to determine when digital solutions are appropriate and when conventional methods remain the gold standard.</w:t>
      </w:r>
    </w:p>
    <w:bookmarkEnd w:id="23"/>
    <w:bookmarkStart w:id="24" w:name="challenges-specific-to-indonesia-jakarta"/>
    <w:p>
      <w:pPr>
        <w:pStyle w:val="Heading2"/>
      </w:pPr>
      <w:r>
        <w:t xml:space="preserve">Challenges Specific to Indonesia Jakarta</w:t>
      </w:r>
    </w:p>
    <w:p>
      <w:pPr>
        <w:pStyle w:val="FirstParagraph"/>
      </w:pPr>
      <w:r>
        <w:t xml:space="preserve">Navigating business in</w:t>
      </w:r>
      <w:r>
        <w:t xml:space="preserve"> </w:t>
      </w:r>
      <w:r>
        <w:rPr>
          <w:bCs/>
          <w:b/>
        </w:rPr>
        <w:t xml:space="preserve">Indonesia Jakarta</w:t>
      </w:r>
    </w:p>
    <w:p>
      <w:pPr>
        <w:pStyle w:val="BodyText"/>
      </w:pPr>
      <w:r>
        <w:t xml:space="preserve">Furthermore, regulatory compliance in Indonesia’s healthcare sector is stringent yet evolving. An</w:t>
      </w:r>
      <w:r>
        <w:t xml:space="preserve"> </w:t>
      </w:r>
      <w:r>
        <w:rPr>
          <w:bCs/>
          <w:b/>
        </w:rPr>
        <w:t xml:space="preserve">Orthodontist</w:t>
      </w:r>
      <w:r>
        <w:t xml:space="preserve"> </w:t>
      </w:r>
      <w:r>
        <w:t xml:space="preserve">must ensure that their practice adheres to strict sterilization protocols, equipment safety standards, and ethical marketing guidelines. Misleading advertising claims are increasingly penalized by the Indonesian Dental Association (IDI), requiring practitioners to maintain transparency in their promotional materials.</w:t>
      </w:r>
    </w:p>
    <w:bookmarkEnd w:id="24"/>
    <w:bookmarkStart w:id="25" w:name="the-digital-marketing-landscape"/>
    <w:p>
      <w:pPr>
        <w:pStyle w:val="Heading2"/>
      </w:pPr>
      <w:r>
        <w:t xml:space="preserve">The Digital Marketing Landscape</w:t>
      </w:r>
    </w:p>
    <w:p>
      <w:pPr>
        <w:pStyle w:val="FirstParagraph"/>
      </w:pPr>
      <w:r>
        <w:t xml:space="preserve">In</w:t>
      </w:r>
      <w:r>
        <w:t xml:space="preserve"> </w:t>
      </w:r>
      <w:r>
        <w:rPr>
          <w:bCs/>
          <w:b/>
        </w:rPr>
        <w:t xml:space="preserve">Indonesia Jakarta</w:t>
      </w:r>
      <w:r>
        <w:t xml:space="preserve">, word-of-mouth has gone digital. A significant portion of patient acquisition occurs through online reviews and social media showcases. An</w:t>
      </w:r>
      <w:r>
        <w:t xml:space="preserve"> </w:t>
      </w:r>
      <w:r>
        <w:rPr>
          <w:bCs/>
          <w:b/>
        </w:rPr>
        <w:t xml:space="preserve">Orthodontist</w:t>
      </w:r>
    </w:p>
    <w:p>
      <w:pPr>
        <w:pStyle w:val="BodyText"/>
      </w:pPr>
      <w:r>
        <w:t xml:space="preserve">This transparency builds authority. Patients in</w:t>
      </w:r>
      <w:r>
        <w:t xml:space="preserve"> </w:t>
      </w:r>
      <w:r>
        <w:rPr>
          <w:bCs/>
          <w:b/>
        </w:rPr>
        <w:t xml:space="preserve">Indonesia Jakarta</w:t>
      </w:r>
      <w:r>
        <w:t xml:space="preserve">Orthodontist, the cleanliness of the clinic, and success stories is no longer optional—it is essential for survival in this saturated market.</w:t>
      </w:r>
    </w:p>
    <w:bookmarkEnd w:id="25"/>
    <w:bookmarkStart w:id="26" w:name="economic-considerations-and-financing"/>
    <w:p>
      <w:pPr>
        <w:pStyle w:val="Heading2"/>
      </w:pPr>
      <w:r>
        <w:t xml:space="preserve">Economic Considerations and Financing</w:t>
      </w:r>
    </w:p>
    <w:p>
      <w:pPr>
        <w:pStyle w:val="FirstParagraph"/>
      </w:pPr>
      <w:r>
        <w:t xml:space="preserve">The cost of orthodontic treatment in</w:t>
      </w:r>
    </w:p>
    <w:p>
      <w:pPr>
        <w:pStyle w:val="BodyText"/>
      </w:pPr>
      <w:r>
        <w:t xml:space="preserve">Indonesia Jakarta</w:t>
      </w:r>
    </w:p>
    <w:p>
      <w:pPr>
        <w:pStyle w:val="BodyText"/>
      </w:pPr>
      <w:r>
        <w:t xml:space="preserve">can be prohibitive for the average income earner, even within the middle class. To address this, many leading clinics have introduced installment plans and partnered with third-party financing institutions.</w:t>
      </w:r>
    </w:p>
    <w:p>
      <w:pPr>
        <w:pStyle w:val="BodyText"/>
      </w:pPr>
      <w:r>
        <w:t xml:space="preserve">The</w:t>
      </w:r>
      <w:r>
        <w:t xml:space="preserve"> </w:t>
      </w:r>
      <w:r>
        <w:rPr>
          <w:bCs/>
          <w:b/>
        </w:rPr>
        <w:t xml:space="preserve">Orthodontist</w:t>
      </w:r>
      <w:r>
        <w:t xml:space="preserve">Indonesia Jakarta. This approach not only drives revenue but also fulfills a social responsibility by improving community health standards.</w:t>
      </w:r>
    </w:p>
    <w:bookmarkEnd w:id="26"/>
    <w:bookmarkStart w:id="27" w:name="future-outlook"/>
    <w:p>
      <w:pPr>
        <w:pStyle w:val="Heading2"/>
      </w:pPr>
      <w:r>
        <w:t xml:space="preserve">Future Outlook</w:t>
      </w:r>
    </w:p>
    <w:p>
      <w:pPr>
        <w:pStyle w:val="FirstParagraph"/>
      </w:pPr>
      <w:r>
        <w:t xml:space="preserve">The future for an</w:t>
      </w:r>
      <w:r>
        <w:t xml:space="preserve"> </w:t>
      </w:r>
      <w:r>
        <w:rPr>
          <w:bCs/>
          <w:b/>
        </w:rPr>
        <w:t xml:space="preserve">Orthodontist</w:t>
      </w:r>
      <w:r>
        <w:t xml:space="preserve">Indonesia Jakarta</w:t>
      </w:r>
    </w:p>
    <w:p>
      <w:pPr>
        <w:pStyle w:val="BodyText"/>
      </w:pPr>
      <w:r>
        <w:t xml:space="preserve">Additionally, the integration of Artificial Intelligence in diagnosis and treatment planning will likely become standard. The</w:t>
      </w:r>
    </w:p>
    <w:p>
      <w:pPr>
        <w:pStyle w:val="BodyText"/>
      </w:pPr>
      <w:r>
        <w:t xml:space="preserve">OrthodontistIndonesia Jakarta. Ultimately, success lies not just in straightening teeth, but in empowering individuals to smile with confidence amidst the vibrant energy of one of Asia's most exciting cities.</w:t>
      </w:r>
    </w:p>
    <w:bookmarkEnd w:id="27"/>
    <w:bookmarkStart w:id="28" w:name="conclusion"/>
    <w:p>
      <w:pPr>
        <w:pStyle w:val="Heading2"/>
      </w:pPr>
      <w:r>
        <w:t xml:space="preserve">Conclusion</w:t>
      </w:r>
    </w:p>
    <w:p>
      <w:pPr>
        <w:pStyle w:val="FirstParagraph"/>
      </w:pPr>
      <w:r>
        <w:t xml:space="preserve">This case study highlights that becoming a successful</w:t>
      </w:r>
    </w:p>
    <w:p>
      <w:pPr>
        <w:pStyle w:val="BodyText"/>
      </w:pPr>
      <w:r>
        <w:t xml:space="preserve">OrthodontistIndonesia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Indonesia Jakarta</dc:title>
  <dc:creator/>
  <dc:language>en</dc:language>
  <cp:keywords/>
  <dcterms:created xsi:type="dcterms:W3CDTF">2026-07-29T04:32:15Z</dcterms:created>
  <dcterms:modified xsi:type="dcterms:W3CDTF">2026-07-29T04:32:15Z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