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Advanced</w:t>
      </w:r>
      <w:r>
        <w:t xml:space="preserve"> </w:t>
      </w:r>
      <w:r>
        <w:t xml:space="preserve">Orthodontic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23" w:name="case-study"/>
    <w:p>
      <w:pPr>
        <w:pStyle w:val="Heading1"/>
      </w:pPr>
      <w:r>
        <w:rPr>
          <w:bCs/>
          <w:b/>
        </w:rPr>
        <w:t xml:space="preserve">Case Study:</w:t>
      </w:r>
    </w:p>
    <w:p>
      <w:pPr>
        <w:pStyle w:val="FirstParagraph"/>
      </w:pPr>
      <w:r>
        <w:t xml:space="preserve">Strategic Expansion of Premium</w:t>
      </w:r>
      <w:r>
        <w:t xml:space="preserve"> </w:t>
      </w:r>
      <w:r>
        <w:rPr>
          <w:iCs/>
          <w:i/>
          <w:bCs/>
          <w:b/>
        </w:rPr>
        <w:t xml:space="preserve">**Orthodontist** Services in Iran Tehran</w:t>
      </w:r>
      <w:r>
        <w:t xml:space="preserve">: A Comprehensive Market and Clinical Analysis</w:t>
      </w:r>
    </w:p>
    <w:bookmarkStart w:id="20" w:name="X0c423083e2e678975df841fe6237aea7ddc1562"/>
    <w:p>
      <w:pPr>
        <w:pStyle w:val="Heading2"/>
      </w:pPr>
      <w:r>
        <w:rPr>
          <w:bCs/>
          <w:b/>
        </w:rPr>
        <w:t xml:space="preserve">**Case Study** Overview:</w:t>
      </w:r>
      <w:r>
        <w:t xml:space="preserve"> </w:t>
      </w:r>
      <w:r>
        <w:t xml:space="preserve">Contextualizing the Opportunity in Iran Tehran</w:t>
      </w:r>
    </w:p>
    <w:p>
      <w:pPr>
        <w:pStyle w:val="FirstParagraph"/>
      </w:pPr>
      <w:r>
        <w:t xml:space="preserve">The global healthcare landscape is witnessing a paradigm shift towards specialized dental care, with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services representing one of the fastest-growing segments. This</w:t>
      </w:r>
      <w:r>
        <w:t xml:space="preserve"> </w:t>
      </w:r>
      <w:r>
        <w:rPr>
          <w:iCs/>
          <w:i/>
          <w:bCs/>
          <w:b/>
        </w:rPr>
        <w:t xml:space="preserve">**Case Study**</w:t>
      </w:r>
      <w:r>
        <w:t xml:space="preserve"> </w:t>
      </w:r>
      <w:r>
        <w:t xml:space="preserve">provides an in-depth examination of the strategic potential for establishing high-end orthodontic clinics within the capital city of Iran, Tehran. By analyzing local demographics, cultural nuances, economic factors, and clinical trends specific to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, this document outlines a roadmap for sustainable growth and excellence in patient care.</w:t>
      </w:r>
    </w:p>
    <w:p>
      <w:pPr>
        <w:pStyle w:val="BodyText"/>
      </w:pPr>
      <w:r>
        <w:t xml:space="preserve">Tehran, as the bustling heart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, presents a unique confluence of traditional values and modern aspirations. The city’s population exceeds nine million, with a significant proportion under the age of thirty. This demographic dividend creates a robust demand for aesthetic dental treatments, particularly among young professionals and families who prioritize health and appearance. For any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looking to enter or expand within this market, understanding the specific dynamics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 </w:t>
      </w:r>
      <w:r>
        <w:t xml:space="preserve">is paramount.</w:t>
      </w:r>
    </w:p>
    <w:bookmarkEnd w:id="20"/>
    <w:bookmarkStart w:id="21" w:name="Xd004776bde3e899c4ee529f1d142059f5afa0f6"/>
    <w:p>
      <w:pPr>
        <w:pStyle w:val="Heading2"/>
      </w:pPr>
      <w:r>
        <w:rPr>
          <w:bCs/>
          <w:b/>
        </w:rPr>
        <w:t xml:space="preserve">**Case Study** Objective:</w:t>
      </w:r>
      <w:r>
        <w:t xml:space="preserve"> </w:t>
      </w:r>
      <w:r>
        <w:t xml:space="preserve">Bridging Clinical Excellence with Market Needs in Iran Tehran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is to evaluate the feasibility and best practices for operating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clinic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It aims to address several critical questions: How can modern technological advancements in orthodontics be effectively introduced to the patients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? What are the prevailing consumer behaviors regarding dental aesthetics? And how can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build trust and brand loyalty in a competitive urban environment?</w:t>
      </w:r>
    </w:p>
    <w:p>
      <w:pPr>
        <w:pStyle w:val="BodyText"/>
      </w:pPr>
      <w:r>
        <w:t xml:space="preserve">This analysis moves beyond general observations to provide actionable insights tailored specifically to the socio-economic fabric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It highlights how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can leverage local resources while maintaining international standards of care, thereby creating a unique value proposition for patients in the region.</w:t>
      </w:r>
    </w:p>
    <w:bookmarkEnd w:id="21"/>
    <w:bookmarkStart w:id="22" w:name="X06cfc8b843459f3d6a6255fcae9a8e04a3a7b23"/>
    <w:p>
      <w:pPr>
        <w:pStyle w:val="Heading2"/>
      </w:pPr>
      <w:r>
        <w:rPr>
          <w:bCs/>
          <w:b/>
        </w:rPr>
        <w:t xml:space="preserve">**Case Study** Methodology:</w:t>
      </w:r>
      <w:r>
        <w:t xml:space="preserve"> </w:t>
      </w:r>
      <w:r>
        <w:t xml:space="preserve">Data Sources and Analytical Framework for Iran Tehran</w:t>
      </w:r>
    </w:p>
    <w:p>
      <w:pPr>
        <w:pStyle w:val="FirstParagraph"/>
      </w:pPr>
      <w:r>
        <w:t xml:space="preserve">To ensure the rigor of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, data was collected from multiple sources relevant to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These include:</w:t>
      </w:r>
    </w:p>
    <w:p>
      <w:pPr>
        <w:numPr>
          <w:ilvl w:val="0"/>
          <w:numId w:val="1001"/>
        </w:numPr>
        <w:pStyle w:val="Compact"/>
      </w:pPr>
      <w:r>
        <w:t xml:space="preserve">**Case Study** Data Point 1: Demographic surveys conducted in key districts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, such as Districts 1, 2, and 3, which have high concentrations of affluent families.</w:t>
      </w:r>
    </w:p>
    <w:p>
      <w:pPr>
        <w:numPr>
          <w:ilvl w:val="0"/>
          <w:numId w:val="1001"/>
        </w:numPr>
        <w:pStyle w:val="Compact"/>
      </w:pPr>
      <w:r>
        <w:t xml:space="preserve">**Case Study** Data Point 2: Clinical trend reports from the Iranian Society of Orthodontics, focusing on the prevalence of malocclusion types among youth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**Case Study** Data Point 3: Economic analysis of disposable income trends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 </w:t>
      </w:r>
      <w:r>
        <w:t xml:space="preserve">and their correlation with elective dental spending.</w:t>
      </w:r>
    </w:p>
    <w:p>
      <w:pPr>
        <w:numPr>
          <w:ilvl w:val="0"/>
          <w:numId w:val="1001"/>
        </w:numPr>
        <w:pStyle w:val="Compact"/>
      </w:pPr>
      <w:r>
        <w:t xml:space="preserve">**Case Study** Data Point 4: Competitor benchmarking of existing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practices in major hospitals and private clinics across the city.</w:t>
      </w:r>
    </w:p>
    <w:p>
      <w:pPr>
        <w:pStyle w:val="FirstParagraph"/>
      </w:pPr>
      <w:r>
        <w:t xml:space="preserve">**Case Study Findings: Key Insights for Orthodontist Practice in Iran Tehran</w:t>
      </w:r>
    </w:p>
    <w:p>
      <w:pPr>
        <w:pStyle w:val="BodyText"/>
      </w:pPr>
      <w:r>
        <w:t xml:space="preserve">**Case Study** Finding 1:The Rise of Aesthetic Awareness in Iran Tehran</w:t>
      </w:r>
    </w:p>
    <w:p>
      <w:pPr>
        <w:pStyle w:val="BodyText"/>
      </w:pPr>
      <w:r>
        <w:t xml:space="preserve">A significant finding from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is the rapid increase in aesthetic awareness among residents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Traditional metal braces are still common, but there is a growing preference for clear aligners and ceramic braces.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offering invisible orthodontic solutions will find a receptive audience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, particularly among university students and young corporate professionals who value discretion.</w:t>
      </w:r>
    </w:p>
    <w:p>
      <w:pPr>
        <w:pStyle w:val="BodyText"/>
      </w:pPr>
      <w:r>
        <w:t xml:space="preserve">**Case Study** Finding 2:Economic Resilience and Payment Structures in Iran Tehran</w:t>
      </w:r>
    </w:p>
    <w:p>
      <w:pPr>
        <w:pStyle w:val="BodyText"/>
      </w:pPr>
      <w:r>
        <w:t xml:space="preserve">The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reveals that while economic fluctuations impact all sectors, dental health remains a priority for many families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However, payment flexibility is crucial. Successful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practices in the city often partner with local banks to offer installment plans. This strategy aligns with the spending habits of patients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, making premium orthodontic care more accessible.</w:t>
      </w:r>
    </w:p>
    <w:p>
      <w:pPr>
        <w:pStyle w:val="BodyText"/>
      </w:pPr>
      <w:r>
        <w:t xml:space="preserve">**Case Study** Finding 3:The Role of Digital Technology in Iran Tehran Clinics</w:t>
      </w:r>
    </w:p>
    <w:p>
      <w:pPr>
        <w:pStyle w:val="BodyText"/>
      </w:pPr>
      <w:r>
        <w:t xml:space="preserve">Adoption of digital scanning and 3D imaging is accelerating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indicates that patients respond positively to high-tech environments.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utilizing intraoral scanners can reduce treatment time and improve patient comfort, setting their practice apart from competitors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 </w:t>
      </w:r>
      <w:r>
        <w:t xml:space="preserve">who may still rely on traditional impressions.</w:t>
      </w:r>
    </w:p>
    <w:p>
      <w:pPr>
        <w:pStyle w:val="BodyText"/>
      </w:pPr>
      <w:r>
        <w:t xml:space="preserve">**Case Study Recommendations: Strategic Actions for Orthodontist Growth in Iran Tehran</w:t>
      </w:r>
    </w:p>
    <w:p>
      <w:pPr>
        <w:pStyle w:val="BodyText"/>
      </w:pPr>
      <w:r>
        <w:t xml:space="preserve">Based on the comprehensive analysis presented in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, the following recommendations are proposed for practitioners and investors targeting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**Case Study** Recommendation 1: Focus on Location Selection in Iran Tehran. Establishing clinics in high-traffic, affluent areas like Elahiyeh or Niavaran will maximize visibility among the target demographic.</w:t>
      </w:r>
    </w:p>
    <w:p>
      <w:pPr>
        <w:numPr>
          <w:ilvl w:val="0"/>
          <w:numId w:val="1002"/>
        </w:numPr>
        <w:pStyle w:val="Compact"/>
      </w:pPr>
      <w:r>
        <w:t xml:space="preserve">**Case Study** Recommendation 2: Invest in Digital Marketing tailored for Iran Tehran. Social media platforms are highly popular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should utilize local platforms to share before-and-after results, educational content, and patient testimonials.</w:t>
      </w:r>
    </w:p>
    <w:p>
      <w:pPr>
        <w:numPr>
          <w:ilvl w:val="0"/>
          <w:numId w:val="1002"/>
        </w:numPr>
        <w:pStyle w:val="Compact"/>
      </w:pPr>
      <w:r>
        <w:t xml:space="preserve">**Case Study** Recommendation 3: Prioritize Patient Education in Iran Tehran. Many residents are unaware of the latest options available.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who educates patients about benefits of early intervention and aesthetic improvements will build long-term trust.</w:t>
      </w:r>
    </w:p>
    <w:p>
      <w:pPr>
        <w:numPr>
          <w:ilvl w:val="0"/>
          <w:numId w:val="1002"/>
        </w:numPr>
        <w:pStyle w:val="Compact"/>
      </w:pPr>
      <w:r>
        <w:t xml:space="preserve">**Case Study** Recommendation 4: Collaborate with Local Dental Laboratories in Iran Tehran. Ensuring timely production of custom appliances through local partnerships is essential for efficient workflow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</w:t>
      </w:r>
    </w:p>
    <w:p>
      <w:pPr>
        <w:pStyle w:val="FirstParagraph"/>
      </w:pPr>
      <w:r>
        <w:t xml:space="preserve">**Case Study Conclusion: The Future of Orthodontist Care in Iran Tehran</w:t>
      </w:r>
    </w:p>
    <w:p>
      <w:pPr>
        <w:pStyle w:val="BodyText"/>
      </w:pPr>
      <w:r>
        <w:t xml:space="preserve">In conclusion,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demonstrates that the market for specialized orthodontic care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 </w:t>
      </w:r>
      <w:r>
        <w:t xml:space="preserve">is vibrant and evolving. For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, the key to success lies in understanding the unique cultural and economic context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 By combining clinical expertise with strategic business practices, it is possible to establish a leading practice that serves the community effectively.</w:t>
      </w:r>
    </w:p>
    <w:p>
      <w:pPr>
        <w:pStyle w:val="BodyText"/>
      </w:pPr>
      <w:r>
        <w:t xml:space="preserve">The insights derived from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 </w:t>
      </w:r>
      <w:r>
        <w:t xml:space="preserve">highlight that while challenges exist, the opportunities for growth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 </w:t>
      </w:r>
      <w:r>
        <w:t xml:space="preserve">are substantial. As healthcare infrastructure improves and public awareness rises, the demand for skilled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services will continue to expand. Stakeholders who act decisively now, guided by the findings of this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**Case Study**</w:t>
        </w:r>
      </w:hyperlink>
      <w:r>
        <w:t xml:space="preserve">, are well-positioned to thrive in the dynamic dental landscape of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</w:t>
      </w:r>
    </w:p>
    <w:p>
      <w:pPr>
        <w:pStyle w:val="BodyText"/>
      </w:pPr>
      <w:r>
        <w:t xml:space="preserve">This document serves as a foundational resource for anyone seeking to navigate the complexities of opening or managing an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**Orthodontist**</w:t>
        </w:r>
      </w:hyperlink>
      <w:r>
        <w:t xml:space="preserve"> </w:t>
      </w:r>
      <w:r>
        <w:t xml:space="preserve">clinic in this significant metropolitan hub. The intersection of medical excellence and local market intelligence defines the path forward for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**Iran Tehran**</w:t>
        </w:r>
      </w:hyperlink>
      <w:r>
        <w:t xml:space="preserve">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Advanced Orthodontic Care in Iran Tehran</dc:title>
  <dc:creator/>
  <dc:language>en</dc:language>
  <cp:keywords/>
  <dcterms:created xsi:type="dcterms:W3CDTF">2026-07-29T13:32:04Z</dcterms:created>
  <dcterms:modified xsi:type="dcterms:W3CDTF">2026-07-29T13:32:04Z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