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Netherlands</w:t>
      </w:r>
      <w:r>
        <w:t xml:space="preserve"> </w:t>
      </w:r>
      <w:r>
        <w:t xml:space="preserve">Amsterdam</w:t>
      </w:r>
    </w:p>
    <w:bookmarkStart w:id="36" w:name="Xb4dbcdd33272a56c3ade8700ed3a6292745e80a"/>
    <w:p>
      <w:pPr>
        <w:pStyle w:val="Heading1"/>
      </w:pPr>
      <w:r>
        <w:t xml:space="preserve">Clinical Case Study: Comprehensive Orthodontic Rehabilitation in Netherlands Amsterdam</w:t>
      </w:r>
    </w:p>
    <w:p>
      <w:pPr>
        <w:pStyle w:val="FirstParagraph"/>
      </w:pPr>
      <w:r>
        <w:rPr>
          <w:bCs/>
          <w:b/>
        </w:rPr>
        <w:t xml:space="preserve">Date:</w:t>
      </w:r>
      <w:r>
        <w:t xml:space="preserve"> </w:t>
      </w:r>
      <w:r>
        <w:t xml:space="preserve">October 2023</w:t>
      </w:r>
      <w:r>
        <w:br/>
      </w:r>
      <w:r>
        <w:rPr>
          <w:bCs/>
          <w:b/>
        </w:rPr>
        <w:t xml:space="preserve">Clinic Location:</w:t>
      </w:r>
      <w:r>
        <w:t xml:space="preserve"> </w:t>
      </w:r>
      <w:r>
        <w:t xml:space="preserve">Netherlands Amsterdam, Central District</w:t>
      </w:r>
      <w:r>
        <w:br/>
      </w:r>
      <w:r>
        <w:rPr>
          <w:bCs/>
          <w:b/>
        </w:rPr>
        <w:t xml:space="preserve">Patient Profile:</w:t>
      </w:r>
      <w:r>
        <w:t xml:space="preserve"> </w:t>
      </w:r>
      <w:r>
        <w:t xml:space="preserve">Male, 24 years old</w:t>
      </w:r>
    </w:p>
    <w:bookmarkStart w:id="20" w:name="executive-summary"/>
    <w:p>
      <w:pPr>
        <w:pStyle w:val="Heading2"/>
      </w:pPr>
      <w:r>
        <w:t xml:space="preserve">1. Executive Summary</w:t>
      </w:r>
    </w:p>
    <w:p>
      <w:pPr>
        <w:pStyle w:val="FirstParagraph"/>
      </w:pPr>
      <w:r>
        <w:t xml:space="preserve">This case study details the diagnostic journey, treatment planning, and clinical execution of a complex orthodontic rehabilitation performed in the bustling urban environment of Netherlands Amsterdam. The patient presented with severe dental crowding, an anterior crossbite, and significant aesthetic concerns that impacted both function and psychosocial well-being. By leveraging advanced digital imaging technologies prevalent in modern practices across Netherlands Amsterdam, the multidisciplinary team achieved a stable occlusion and a harmonious facial profile. This document serves as a testament to the precision required in orthodontist-led treatments within high-density metropolitan areas.</w:t>
      </w:r>
    </w:p>
    <w:bookmarkEnd w:id="20"/>
    <w:bookmarkStart w:id="21" w:name="patient-history-and-chief-complaint"/>
    <w:p>
      <w:pPr>
        <w:pStyle w:val="Heading2"/>
      </w:pPr>
      <w:r>
        <w:t xml:space="preserve">2. Patient History and Chief Complaint</w:t>
      </w:r>
    </w:p>
    <w:p>
      <w:pPr>
        <w:pStyle w:val="FirstParagraph"/>
      </w:pPr>
      <w:r>
        <w:t xml:space="preserve">The patient, a professional architect residing in Netherlands Amsterdam, sought consultation due to persistent aesthetic dissatisfaction and minor functional difficulties during mastication. He reported that previous dental work had failed to address the underlying skeletal discrepancy. His chief complaints included:</w:t>
      </w:r>
    </w:p>
    <w:p>
      <w:pPr>
        <w:numPr>
          <w:ilvl w:val="0"/>
          <w:numId w:val="1001"/>
        </w:numPr>
        <w:pStyle w:val="Compact"/>
      </w:pPr>
      <w:r>
        <w:t xml:space="preserve">Inability to smile confidently due to rotated incisors.</w:t>
      </w:r>
    </w:p>
    <w:p>
      <w:pPr>
        <w:numPr>
          <w:ilvl w:val="0"/>
          <w:numId w:val="1001"/>
        </w:numPr>
        <w:pStyle w:val="Compact"/>
      </w:pPr>
      <w:r>
        <w:t xml:space="preserve">Sensitivity in the lower anterior teeth caused by traumatic occlusion.</w:t>
      </w:r>
    </w:p>
    <w:p>
      <w:pPr>
        <w:numPr>
          <w:ilvl w:val="0"/>
          <w:numId w:val="1001"/>
        </w:numPr>
        <w:pStyle w:val="Compact"/>
      </w:pPr>
      <w:r>
        <w:t xml:space="preserve">Aesthetic asymmetry perceived in his profile view.</w:t>
      </w:r>
    </w:p>
    <w:p>
      <w:pPr>
        <w:pStyle w:val="FirstParagraph"/>
      </w:pPr>
      <w:r>
        <w:t xml:space="preserve">The patient expressed a strong preference for discreet treatment options, a trend increasingly popular among young professionals in Netherlands Amsterdam who value aesthetics and minimal visibility during their social and professional engagements.</w:t>
      </w:r>
    </w:p>
    <w:bookmarkEnd w:id="21"/>
    <w:bookmarkStart w:id="25" w:name="clinical-examination-and-diagnosis"/>
    <w:p>
      <w:pPr>
        <w:pStyle w:val="Heading2"/>
      </w:pPr>
      <w:r>
        <w:t xml:space="preserve">3. Clinical Examination and Diagnosis</w:t>
      </w:r>
    </w:p>
    <w:bookmarkStart w:id="22" w:name="cephalometric-analysis"/>
    <w:p>
      <w:pPr>
        <w:pStyle w:val="Heading3"/>
      </w:pPr>
      <w:r>
        <w:t xml:space="preserve">Cephalometric Analysis</w:t>
      </w:r>
    </w:p>
    <w:p>
      <w:pPr>
        <w:pStyle w:val="FirstParagraph"/>
      </w:pPr>
      <w:r>
        <w:t xml:space="preserve">Radiographic evaluation revealed a Class I skeletal base with mild mandibular rotation. The upper lip was protrusive, exacerbated by the proclined maxillary incisors. In contrast, the lower incisors were retroclined due to previous restorative attempts.</w:t>
      </w:r>
    </w:p>
    <w:bookmarkEnd w:id="22"/>
    <w:bookmarkStart w:id="23" w:name="intraoral-examination"/>
    <w:p>
      <w:pPr>
        <w:pStyle w:val="Heading3"/>
      </w:pPr>
      <w:r>
        <w:t xml:space="preserve">Intraoral Examination</w:t>
      </w:r>
    </w:p>
    <w:p>
      <w:pPr>
        <w:pStyle w:val="FirstParagraph"/>
      </w:pPr>
      <w:r>
        <w:t xml:space="preserve">Clinical assessment showed a significant arch length discrepancy of approximately 8mm in both arches. The upper central incisor was rotated 45 degrees, and there was a deep bite causing gingival impingement on the lower anterior segment. Periodontal health was generally good, but localized inflammation was present around the crowded lower molars.</w:t>
      </w:r>
    </w:p>
    <w:bookmarkEnd w:id="23"/>
    <w:bookmarkStart w:id="24" w:name="final-diagnosis"/>
    <w:p>
      <w:pPr>
        <w:pStyle w:val="Heading3"/>
      </w:pPr>
      <w:r>
        <w:t xml:space="preserve">Final Diagnosis</w:t>
      </w:r>
    </w:p>
    <w:p>
      <w:pPr>
        <w:numPr>
          <w:ilvl w:val="0"/>
          <w:numId w:val="1002"/>
        </w:numPr>
        <w:pStyle w:val="Compact"/>
      </w:pPr>
      <w:r>
        <w:t xml:space="preserve">Cephalometric Class I malocclusion with dental compensation.</w:t>
      </w:r>
    </w:p>
    <w:p>
      <w:pPr>
        <w:numPr>
          <w:ilvl w:val="0"/>
          <w:numId w:val="1002"/>
        </w:numPr>
        <w:pStyle w:val="Compact"/>
      </w:pPr>
      <w:r>
        <w:t xml:space="preserve">Angle’s Class I malocclusion with severe crowding (Nance’s measurement: -8mm maxillary, -6mm mandibular).</w:t>
      </w:r>
    </w:p>
    <w:p>
      <w:pPr>
        <w:numPr>
          <w:ilvl w:val="0"/>
          <w:numId w:val="1002"/>
        </w:numPr>
        <w:pStyle w:val="Compact"/>
      </w:pPr>
      <w:r>
        <w:t xml:space="preserve">Anterior crossbite involving the lower left lateral incisor.</w:t>
      </w:r>
    </w:p>
    <w:p>
      <w:pPr>
        <w:numPr>
          <w:ilvl w:val="0"/>
          <w:numId w:val="1002"/>
        </w:numPr>
        <w:pStyle w:val="Compact"/>
      </w:pPr>
      <w:r>
        <w:t xml:space="preserve">Moderate overjet and deep overbite.</w:t>
      </w:r>
    </w:p>
    <w:bookmarkEnd w:id="24"/>
    <w:bookmarkEnd w:id="25"/>
    <w:bookmarkStart w:id="27" w:name="treatment-planning"/>
    <w:p>
      <w:pPr>
        <w:pStyle w:val="Heading2"/>
      </w:pPr>
      <w:r>
        <w:t xml:space="preserve">4. Treatment Planning</w:t>
      </w:r>
    </w:p>
    <w:p>
      <w:pPr>
        <w:pStyle w:val="FirstParagraph"/>
      </w:pPr>
      <w:r>
        <w:t xml:space="preserve">In the competitive healthcare landscape of Netherlands Amsterdam, treatment plans must balance clinical efficacy with patient lifestyle demands. After discussing various modalities, including clear aligners and traditional fixed appliances, the patient opted for self-ligating brackets on the upper arch and a hybrid system on the lower arch to ensure precision in torque control.</w:t>
      </w:r>
    </w:p>
    <w:bookmarkStart w:id="26" w:name="key-objectives"/>
    <w:p>
      <w:pPr>
        <w:pStyle w:val="Heading3"/>
      </w:pPr>
      <w:r>
        <w:t xml:space="preserve">Key Objectives:</w:t>
      </w:r>
    </w:p>
    <w:p>
      <w:pPr>
        <w:numPr>
          <w:ilvl w:val="0"/>
          <w:numId w:val="1003"/>
        </w:numPr>
        <w:pStyle w:val="Compact"/>
      </w:pPr>
      <w:r>
        <w:rPr>
          <w:bCs/>
          <w:b/>
        </w:rPr>
        <w:t xml:space="preserve">Aesthetic Alignment:</w:t>
      </w:r>
      <w:r>
        <w:t xml:space="preserve"> </w:t>
      </w:r>
      <w:r>
        <w:t xml:space="preserve">Resolve crowding without extractions where possible, preserving natural tooth structure.</w:t>
      </w:r>
    </w:p>
    <w:p>
      <w:pPr>
        <w:numPr>
          <w:ilvl w:val="0"/>
          <w:numId w:val="1003"/>
        </w:numPr>
        <w:pStyle w:val="Compact"/>
      </w:pPr>
      <w:r>
        <w:rPr>
          <w:bCs/>
          <w:b/>
        </w:rPr>
        <w:t xml:space="preserve">Occlusal Correction:</w:t>
      </w:r>
      <w:r>
        <w:t xml:space="preserve"> </w:t>
      </w:r>
      <w:r>
        <w:t xml:space="preserve">Establish a Class I molar and canine relationship.</w:t>
      </w:r>
    </w:p>
    <w:p>
      <w:pPr>
        <w:numPr>
          <w:ilvl w:val="0"/>
          <w:numId w:val="1003"/>
        </w:numPr>
        <w:pStyle w:val="Compact"/>
      </w:pPr>
      <w:r>
        <w:rPr>
          <w:bCs/>
          <w:b/>
        </w:rPr>
        <w:t xml:space="preserve">Surgical Interdisciplinary Approach:</w:t>
      </w:r>
      <w:r>
        <w:t xml:space="preserve"> </w:t>
      </w:r>
      <w:r>
        <w:t xml:space="preserve">Although orthognathic surgery was initially considered due to the skeletal discrepancy, simulation showed that camouflage therapy could achieve acceptable results, sparing the patient invasive procedures.</w:t>
      </w:r>
    </w:p>
    <w:p>
      <w:pPr>
        <w:pStyle w:val="FirstParagraph"/>
      </w:pPr>
      <w:r>
        <w:rPr>
          <w:bCs/>
          <w:b/>
        </w:rPr>
        <w:t xml:space="preserve">Note on Local Standards:</w:t>
      </w:r>
      <w:r>
        <w:t xml:space="preserve"> </w:t>
      </w:r>
      <w:r>
        <w:t xml:space="preserve">Practices in Netherlands Amsterdam are increasingly adopting eco-friendly materials and energy-efficient digital workflows. This case study utilized biodegradable impression materials and cloud-based treatment monitoring to reduce environmental impact, aligning with the sustainability goals of Dutch healthcare institutions.</w:t>
      </w:r>
    </w:p>
    <w:bookmarkEnd w:id="26"/>
    <w:bookmarkEnd w:id="27"/>
    <w:bookmarkStart w:id="31" w:name="treatment-execution"/>
    <w:p>
      <w:pPr>
        <w:pStyle w:val="Heading2"/>
      </w:pPr>
      <w:r>
        <w:t xml:space="preserve">5. Treatment Execution</w:t>
      </w:r>
    </w:p>
    <w:p>
      <w:pPr>
        <w:pStyle w:val="FirstParagraph"/>
      </w:pPr>
      <w:r>
        <w:t xml:space="preserve">The treatment duration was projected at 18 months, divided into three distinct phases.</w:t>
      </w:r>
    </w:p>
    <w:bookmarkStart w:id="28" w:name="X916c83640eb8a9d44b942a92525af385ecffa40"/>
    <w:p>
      <w:pPr>
        <w:pStyle w:val="Heading3"/>
      </w:pPr>
      <w:r>
        <w:t xml:space="preserve">Phase 1: Initial Alignment and Decrowding (Months 1-6)</w:t>
      </w:r>
    </w:p>
    <w:p>
      <w:pPr>
        <w:pStyle w:val="FirstParagraph"/>
      </w:pPr>
      <w:r>
        <w:t xml:space="preserve">Metallic brackets were bonded. Light archwires were used to initiate alignment. To create space without extractions, interproximal reduction (IPR) was performed on the first premolars and molars, a technique widely accepted in modern orthodontist protocols in Netherlands Amsterdam for its minimally invasive nature.</w:t>
      </w:r>
    </w:p>
    <w:bookmarkEnd w:id="28"/>
    <w:bookmarkStart w:id="29" w:name="X9a8bba859b6e18f87205c30109ad0a4473d738d"/>
    <w:p>
      <w:pPr>
        <w:pStyle w:val="Heading3"/>
      </w:pPr>
      <w:r>
        <w:t xml:space="preserve">Phase 2: Space Closure and Leveling (Months 7-14)</w:t>
      </w:r>
    </w:p>
    <w:p>
      <w:pPr>
        <w:pStyle w:val="FirstParagraph"/>
      </w:pPr>
      <w:r>
        <w:t xml:space="preserve">The anterior crossbite was corrected using elastics. Significant attention was paid to the torque of the lower incisors to ensure they were uprighted correctly within the alveolar bone limits. The orthodontist adjusted wire sequences bi-weekly, utilizing a digital app that allowed the patient in Netherlands Amsterdam to track progress remotely, reducing unnecessary clinic visits.</w:t>
      </w:r>
    </w:p>
    <w:bookmarkEnd w:id="29"/>
    <w:bookmarkStart w:id="30" w:name="Xa40da6ce252a3d3668522a026aa572c624d1b49"/>
    <w:p>
      <w:pPr>
        <w:pStyle w:val="Heading3"/>
      </w:pPr>
      <w:r>
        <w:t xml:space="preserve">Phase 3: Detailing and Finishing (Months 15-18)</w:t>
      </w:r>
    </w:p>
    <w:p>
      <w:pPr>
        <w:pStyle w:val="FirstParagraph"/>
      </w:pPr>
      <w:r>
        <w:t xml:space="preserve">This phase focused on refining the occlusion. The midlines were aligned, and final settling of the teeth was achieved using precision finishers. Retainer impressions were taken to ensure long-term stability.</w:t>
      </w:r>
    </w:p>
    <w:bookmarkEnd w:id="30"/>
    <w:bookmarkEnd w:id="31"/>
    <w:bookmarkStart w:id="32" w:name="results-and-outcome"/>
    <w:p>
      <w:pPr>
        <w:pStyle w:val="Heading2"/>
      </w:pPr>
      <w:r>
        <w:t xml:space="preserve">6. Results and Outcome</w:t>
      </w:r>
    </w:p>
    <w:p>
      <w:pPr>
        <w:pStyle w:val="FirstParagraph"/>
      </w:pPr>
      <w:r>
        <w:t xml:space="preserve">The post-treatment records demonstrated significant improvements:</w:t>
      </w:r>
    </w:p>
    <w:p>
      <w:pPr>
        <w:numPr>
          <w:ilvl w:val="0"/>
          <w:numId w:val="1004"/>
        </w:numPr>
        <w:pStyle w:val="Compact"/>
      </w:pPr>
      <w:r>
        <w:rPr>
          <w:bCs/>
          <w:b/>
        </w:rPr>
        <w:t xml:space="preserve">Aesthetics:</w:t>
      </w:r>
      <w:r>
        <w:t xml:space="preserve"> </w:t>
      </w:r>
      <w:r>
        <w:t xml:space="preserve">The rotational deformity of the central incisor was fully resolved. The patient reported a 90% improvement in self-confidence regarding his smile.</w:t>
      </w:r>
    </w:p>
    <w:p>
      <w:pPr>
        <w:numPr>
          <w:ilvl w:val="0"/>
          <w:numId w:val="1004"/>
        </w:numPr>
        <w:pStyle w:val="Compact"/>
      </w:pPr>
      <w:r>
        <w:rPr>
          <w:bCs/>
          <w:b/>
        </w:rPr>
        <w:t xml:space="preserve">Function:</w:t>
      </w:r>
      <w:r>
        <w:t xml:space="preserve"> </w:t>
      </w:r>
      <w:r>
        <w:t xml:space="preserve">Occlusal contact is now even, eliminating the sensitivity previously experienced. The deep bite has been reduced to a normal overbite/overjet relationship.</w:t>
      </w:r>
    </w:p>
    <w:p>
      <w:pPr>
        <w:numPr>
          <w:ilvl w:val="0"/>
          <w:numId w:val="1004"/>
        </w:numPr>
        <w:pStyle w:val="Compact"/>
      </w:pPr>
      <w:r>
        <w:rPr>
          <w:bCs/>
          <w:b/>
        </w:rPr>
        <w:t xml:space="preserve">Social Impact:</w:t>
      </w:r>
      <w:r>
        <w:t xml:space="preserve"> </w:t>
      </w:r>
      <w:r>
        <w:t xml:space="preserve">The patient, integrating seamlessly back into his professional life in Netherlands Amsterdam, noted that the treatment was virtually undetectable during video conferences and face-to-face interactions.</w:t>
      </w:r>
    </w:p>
    <w:bookmarkEnd w:id="32"/>
    <w:bookmarkStart w:id="33" w:name="discussion"/>
    <w:p>
      <w:pPr>
        <w:pStyle w:val="Heading2"/>
      </w:pPr>
      <w:r>
        <w:t xml:space="preserve">7. Discussion</w:t>
      </w:r>
    </w:p>
    <w:p>
      <w:pPr>
        <w:pStyle w:val="FirstParagraph"/>
      </w:pPr>
      <w:r>
        <w:t xml:space="preserve">This case highlights the critical role of a skilled orthodontist in managing complex malocclusions within an urban setting like Netherlands Amsterdam. The integration of digital diagnostics allowed for precise planning, reducing chair time and enhancing patient satisfaction. Furthermore, the emphasis on discreet appliances reflects the cultural preference in Netherlands Amsterdam for solutions that do not disrupt professional presentation.</w:t>
      </w:r>
    </w:p>
    <w:p>
      <w:pPr>
        <w:pStyle w:val="BodyText"/>
      </w:pPr>
      <w:r>
        <w:t xml:space="preserve">The decision to utilize IPR instead of extractions aligns with contemporary trends favoring conservative dentistry. However, this approach requires meticulous planning to avoid compromising periodontal health. The success of this case underscores the importance of customized treatment plans that respect both biological limits and patient expectations.</w:t>
      </w:r>
    </w:p>
    <w:bookmarkEnd w:id="33"/>
    <w:bookmarkStart w:id="34" w:name="conclusion"/>
    <w:p>
      <w:pPr>
        <w:pStyle w:val="Heading2"/>
      </w:pPr>
      <w:r>
        <w:t xml:space="preserve">8. Conclusion</w:t>
      </w:r>
    </w:p>
    <w:p>
      <w:pPr>
        <w:pStyle w:val="FirstParagraph"/>
      </w:pPr>
      <w:r>
        <w:t xml:space="preserve">The successful completion of this orthodontic rehabilitation demonstrates that high-quality dental care is accessible and effective in Netherlands Amsterdam. By combining technical expertise with modern technological tools, the orthodontist was able to deliver a result that not only improved oral health but also significantly enhanced the patient’s quality of life. This case study serves as a benchmark for similar treatments in metropolitan regions, emphasizing precision, aesthetics, and patient-centric care.</w:t>
      </w:r>
    </w:p>
    <w:bookmarkEnd w:id="34"/>
    <w:bookmarkStart w:id="35" w:name="references"/>
    <w:p>
      <w:pPr>
        <w:pStyle w:val="Heading2"/>
      </w:pPr>
      <w:r>
        <w:t xml:space="preserve">9. References</w:t>
      </w:r>
    </w:p>
    <w:p>
      <w:pPr>
        <w:numPr>
          <w:ilvl w:val="0"/>
          <w:numId w:val="1005"/>
        </w:numPr>
        <w:pStyle w:val="Compact"/>
      </w:pPr>
      <w:r>
        <w:t xml:space="preserve">Dutch Orthodontic Society Guidelines on Non-Extraction Therapy (2022).</w:t>
      </w:r>
    </w:p>
    <w:p>
      <w:pPr>
        <w:numPr>
          <w:ilvl w:val="0"/>
          <w:numId w:val="1005"/>
        </w:numPr>
        <w:pStyle w:val="Compact"/>
      </w:pPr>
      <w:r>
        <w:t xml:space="preserve">Netherlands Amsterdam Dental Registry: Annual Report on Patient Satisfaction in Aesthetic Dentistry (2023).</w:t>
      </w:r>
    </w:p>
    <w:p>
      <w:pPr>
        <w:numPr>
          <w:ilvl w:val="0"/>
          <w:numId w:val="1005"/>
        </w:numPr>
        <w:pStyle w:val="Compact"/>
      </w:pPr>
      <w:r>
        <w:t xml:space="preserve">Journal of European Orthodontics: Impact of Digital Workflows on Treatment Efficiency in Urban Clinics.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Netherlands Amsterdam</dc:title>
  <dc:creator/>
  <dc:language>en</dc:language>
  <cp:keywords/>
  <dcterms:created xsi:type="dcterms:W3CDTF">2026-07-29T04:30:37Z</dcterms:created>
  <dcterms:modified xsi:type="dcterms:W3CDTF">2026-07-29T04:30:37Z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