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2d8a932e9117d7883b349617088fbe02eff209b"/>
    <w:p>
      <w:pPr>
        <w:pStyle w:val="Heading1"/>
      </w:pPr>
      <w:r>
        <w:t xml:space="preserve">Case Study: Transformative Orthodontic Solutions in New Zealand Auckland</w:t>
      </w:r>
    </w:p>
    <w:p>
      <w:pPr>
        <w:pStyle w:val="FirstParagraph"/>
      </w:pPr>
      <w:r>
        <w:rPr>
          <w:bCs/>
          <w:b/>
        </w:rPr>
        <w:t xml:space="preserve">Date:</w:t>
      </w:r>
      <w:r>
        <w:t xml:space="preserve"> </w:t>
      </w:r>
      <w:r>
        <w:t xml:space="preserve">October 24, 2023</w:t>
      </w:r>
      <w:r>
        <w:br/>
      </w:r>
      <w:r>
        <w:rPr>
          <w:bCs/>
          <w:b/>
        </w:rPr>
        <w:t xml:space="preserve">Locus:</w:t>
      </w:r>
      <w:r>
        <w:t xml:space="preserve">New Zealand Auckland</w:t>
      </w:r>
      <w:r>
        <w:br/>
      </w:r>
      <w:r>
        <w:rPr>
          <w:bCs/>
          <w:b/>
        </w:rPr>
        <w:t xml:space="preserve">Focus:</w:t>
      </w:r>
    </w:p>
    <w:bookmarkStart w:id="20" w:name="executive-summary"/>
    <w:p>
      <w:pPr>
        <w:pStyle w:val="Heading2"/>
      </w:pPr>
      <w:r>
        <w:t xml:space="preserve">Executive Summary</w:t>
      </w:r>
    </w:p>
    <w:p>
      <w:pPr>
        <w:pStyle w:val="FirstParagraph"/>
      </w:pPr>
      <w:r>
        <w:t xml:space="preserve">This case study examines the operational success and clinical outcomes of a specialized orthodontic practice located in the heart of New Zealand Auckland. The primary objective is to analyze how modern orthodontic methodologies, combined with patient-centric care models, address the unique dental health needs of an urban population. As Auckland continues to be a dynamic hub for diverse communities, including significant Māori and Pasifika populations alongside growing immigrant groups, the demand for accessible, high-quality orthodontic care has intensified. This document details how a dedicated Orthodontist practice navigated these challenges to improve community oral health metrics.</w:t>
      </w:r>
    </w:p>
    <w:bookmarkEnd w:id="20"/>
    <w:bookmarkStart w:id="21" w:name="background-and-context"/>
    <w:p>
      <w:pPr>
        <w:pStyle w:val="Heading2"/>
      </w:pPr>
      <w:r>
        <w:t xml:space="preserve">Background and Context</w:t>
      </w:r>
    </w:p>
    <w:p>
      <w:pPr>
        <w:pStyle w:val="FirstParagraph"/>
      </w:pPr>
      <w:r>
        <w:t xml:space="preserve">New Zealand Auckland presents a unique demographic landscape that influences healthcare delivery. The city is home to over one million residents, with varying socioeconomic statuses and cultural backgrounds. Historically, orthodontic treatment in New Zealand has been categorized into emergency cases covered by the public health system for children under 18, while cosmetic or complex adult corrections fall into the private sector. This bifurcation often creates gaps in care continuity.</w:t>
      </w:r>
    </w:p>
    <w:p>
      <w:pPr>
        <w:pStyle w:val="BodyText"/>
      </w:pPr>
      <w:r>
        <w:t xml:space="preserve">The case study focuses on "Auckland Smile Clinics," a hypothetical composite of successful practices in the region. The clinic’s mission is to bridge this gap by offering seamless transitions between public and private funding avenues, ensuring that financial barriers do not prevent necessary orthodontic intervention. The practice was established to serve the New Zealand Auckland community with a focus on inclusivity, utilizing cultural competence training for staff to better serve indigenous Māori and diverse immigrant communities.</w:t>
      </w:r>
    </w:p>
    <w:bookmarkEnd w:id="21"/>
    <w:bookmarkStart w:id="22" w:name="the-clinical-challenge"/>
    <w:p>
      <w:pPr>
        <w:pStyle w:val="Heading2"/>
      </w:pPr>
      <w:r>
        <w:t xml:space="preserve">The Clinical Challenge</w:t>
      </w:r>
    </w:p>
    <w:p>
      <w:pPr>
        <w:pStyle w:val="FirstParagraph"/>
      </w:pPr>
      <w:r>
        <w:t xml:space="preserve">The primary challenge faced by the Orthodontist team was threefold:</w:t>
      </w:r>
    </w:p>
    <w:p>
      <w:pPr>
        <w:numPr>
          <w:ilvl w:val="0"/>
          <w:numId w:val="1001"/>
        </w:numPr>
        <w:pStyle w:val="Compact"/>
      </w:pPr>
      <w:r>
        <w:rPr>
          <w:bCs/>
          <w:b/>
        </w:rPr>
        <w:t xml:space="preserve">Dental Anxiety and Cultural Stigma:</w:t>
      </w:r>
      <w:r>
        <w:t xml:space="preserve"> </w:t>
      </w:r>
      <w:r>
        <w:t xml:space="preserve">Many patients in New Zealand Auckland reported high levels of dental anxiety, exacerbated by previous negative experiences or cultural misunderstandings regarding oral health. In particular, some Pasifika communities historically viewed orthodontic work as purely cosmetic rather than medicinal, leading to late-stage interventions when problems became severe.</w:t>
      </w:r>
    </w:p>
    <w:p>
      <w:pPr>
        <w:numPr>
          <w:ilvl w:val="0"/>
          <w:numId w:val="1001"/>
        </w:numPr>
        <w:pStyle w:val="Compact"/>
      </w:pPr>
      <w:r>
        <w:rPr>
          <w:bCs/>
          <w:b/>
        </w:rPr>
        <w:t xml:space="preserve">Access and Wait Times:</w:t>
      </w:r>
      <w:r>
        <w:t xml:space="preserve"> </w:t>
      </w:r>
      <w:r>
        <w:t xml:space="preserve">Public clinics in Auckland often have waitlists exceeding 12 months for non-emergency cases. This delay results in worsening malocclusion issues, impacting not only physical health but also educational and professional opportunities for young adults.</w:t>
      </w:r>
    </w:p>
    <w:p>
      <w:pPr>
        <w:numPr>
          <w:ilvl w:val="0"/>
          <w:numId w:val="1001"/>
        </w:numPr>
        <w:pStyle w:val="Compact"/>
      </w:pPr>
      <w:r>
        <w:rPr>
          <w:bCs/>
          <w:b/>
        </w:rPr>
        <w:t xml:space="preserve">Treatment Complexity:</w:t>
      </w:r>
      <w:r>
        <w:t xml:space="preserve"> </w:t>
      </w:r>
      <w:r>
        <w:t xml:space="preserve">The practice dealt with an increasing number of adult patients seeking clear aligner therapy alongside traditional braces. Managing mixed-age cohorts required distinct protocols to ensure comfort and compliance across different age groups.</w:t>
      </w:r>
    </w:p>
    <w:bookmarkEnd w:id="22"/>
    <w:bookmarkStart w:id="26" w:name="X6a9ded2e187c285682e0da221d3fb47970d9fc3"/>
    <w:p>
      <w:pPr>
        <w:pStyle w:val="Heading2"/>
      </w:pPr>
      <w:r>
        <w:t xml:space="preserve">The Intervention: A Holistic Orthodontic Approach</w:t>
      </w:r>
    </w:p>
    <w:p>
      <w:pPr>
        <w:pStyle w:val="FirstParagraph"/>
      </w:pPr>
      <w:r>
        <w:t xml:space="preserve">To address these challenges, the Orthodontist team implemented a multi-tiered intervention strategy focused on education, technology integration, and community partnership.</w:t>
      </w:r>
    </w:p>
    <w:bookmarkStart w:id="23" w:name="community-outreach-and-education"/>
    <w:p>
      <w:pPr>
        <w:pStyle w:val="Heading3"/>
      </w:pPr>
      <w:r>
        <w:t xml:space="preserve">1. Community Outreach and Education</w:t>
      </w:r>
    </w:p>
    <w:p>
      <w:pPr>
        <w:pStyle w:val="FirstParagraph"/>
      </w:pPr>
      <w:r>
        <w:t xml:space="preserve">The practice launched a targeted outreach program in New Zealand Auckland schools and community centers. By partnering with local iwi (tribes) and Pacific Island health providers, the clinic hosted workshops explaining the functional benefits of orthodontic treatment beyond aesthetics. These sessions focused on bite alignment, jaw health, and speech improvement, framing orthodontics as essential healthcare rather than a luxury.</w:t>
      </w:r>
    </w:p>
    <w:bookmarkEnd w:id="23"/>
    <w:bookmarkStart w:id="24" w:name="technological-integration"/>
    <w:p>
      <w:pPr>
        <w:pStyle w:val="Heading3"/>
      </w:pPr>
      <w:r>
        <w:t xml:space="preserve">2. Technological Integration</w:t>
      </w:r>
    </w:p>
    <w:p>
      <w:pPr>
        <w:pStyle w:val="FirstParagraph"/>
      </w:pPr>
      <w:r>
        <w:t xml:space="preserve">The clinic invested in advanced digital scanning technology to eliminate the need for uncomfortable traditional impressions. This shift was particularly popular among pediatric patients in Auckland, reducing visit times and anxiety. Furthermore, the introduction of tele-orthodontics allowed for remote monitoring of clear aligner progress. This innovation significantly reduced the number of required physical visits, benefiting busy professionals and parents who struggled with scheduling appointments across the sprawling geography of New Zealand Auckland.</w:t>
      </w:r>
    </w:p>
    <w:bookmarkEnd w:id="24"/>
    <w:bookmarkStart w:id="25" w:name="financial-accessibility-models"/>
    <w:p>
      <w:pPr>
        <w:pStyle w:val="Heading3"/>
      </w:pPr>
      <w:r>
        <w:t xml:space="preserve">3. Financial Accessibility Models</w:t>
      </w:r>
    </w:p>
    <w:p>
      <w:pPr>
        <w:pStyle w:val="FirstParagraph"/>
      </w:pPr>
      <w:r>
        <w:t xml:space="preserve">A major barrier to orthodontic care in New Zealand is cost. The practice introduced a sliding scale payment model and partnered with local financial institutions to offer low-interest medical loans specifically for dental work. They also established a clear pathway for patients transitioning from public pediatric services to private adult care, ensuring that treatment plans were continuous rather than fragmented.</w:t>
      </w:r>
    </w:p>
    <w:bookmarkEnd w:id="25"/>
    <w:bookmarkEnd w:id="26"/>
    <w:bookmarkStart w:id="27" w:name="outcomes-and-results"/>
    <w:p>
      <w:pPr>
        <w:pStyle w:val="Heading2"/>
      </w:pPr>
      <w:r>
        <w:t xml:space="preserve">Outcomes and Results</w:t>
      </w:r>
    </w:p>
    <w:p>
      <w:pPr>
        <w:pStyle w:val="FirstParagraph"/>
      </w:pPr>
      <w:r>
        <w:t xml:space="preserve">After eighteen months of operation under this new model, the clinic reported significant positive outcomes:</w:t>
      </w:r>
    </w:p>
    <w:p>
      <w:pPr>
        <w:numPr>
          <w:ilvl w:val="0"/>
          <w:numId w:val="1002"/>
        </w:numPr>
        <w:pStyle w:val="Compact"/>
      </w:pPr>
      <w:r>
        <w:rPr>
          <w:bCs/>
          <w:b/>
        </w:rPr>
        <w:t xml:space="preserve">Patient Volume Increase:</w:t>
      </w:r>
      <w:r>
        <w:br/>
      </w:r>
      <w:r>
        <w:t xml:space="preserve">There was a 40% increase in patient registration compared to the previous year. Notably, there was a 25% rise in adult patients seeking treatment, indicating that financial and accessibility barriers were effectively being dismantled.</w:t>
      </w:r>
    </w:p>
    <w:p>
      <w:pPr>
        <w:numPr>
          <w:ilvl w:val="0"/>
          <w:numId w:val="1002"/>
        </w:numPr>
        <w:pStyle w:val="Compact"/>
      </w:pPr>
      <w:r>
        <w:rPr>
          <w:bCs/>
          <w:b/>
        </w:rPr>
        <w:t xml:space="preserve">Cultural Engagement:</w:t>
      </w:r>
      <w:r>
        <w:br/>
      </w:r>
      <w:r>
        <w:t xml:space="preserve">Surveys indicated that Māori and Pasifika patient satisfaction scores improved by 30%. Patients reported feeling more respected and understood during their consultations, citing the staff’s cultural competence training as a key factor in their comfort level.</w:t>
      </w:r>
    </w:p>
    <w:p>
      <w:pPr>
        <w:numPr>
          <w:ilvl w:val="0"/>
          <w:numId w:val="1002"/>
        </w:numPr>
        <w:pStyle w:val="Compact"/>
      </w:pPr>
      <w:r>
        <w:rPr>
          <w:bCs/>
          <w:b/>
        </w:rPr>
        <w:t xml:space="preserve">Treatment Efficiency:</w:t>
      </w:r>
      <w:r>
        <w:br/>
      </w:r>
      <w:r>
        <w:t xml:space="preserve">The use of digital scanning reduced average chair time per appointment by 15 minutes. Tele-orthodontics reduced total patient visits by an average of four appointments per case, streamlining the workflow for the Orthodontist and allowing more patients to be seen daily.</w:t>
      </w:r>
    </w:p>
    <w:p>
      <w:pPr>
        <w:numPr>
          <w:ilvl w:val="0"/>
          <w:numId w:val="1002"/>
        </w:numPr>
        <w:pStyle w:val="Compact"/>
      </w:pPr>
      <w:r>
        <w:rPr>
          <w:bCs/>
          <w:b/>
        </w:rPr>
        <w:t xml:space="preserve">Health Metrics:</w:t>
      </w:r>
      <w:r>
        <w:br/>
      </w:r>
      <w:r>
        <w:t xml:space="preserve">Early intervention in children led to a measurable decrease in severe malocclusion cases requiring surgical correction later in life. This preventative approach not only improved individual health outcomes but also reduced the long-term burden on New Zealand’s public health infrastructure.</w:t>
      </w:r>
    </w:p>
    <w:p>
      <w:pPr>
        <w:pStyle w:val="FirstParagraph"/>
      </w:pPr>
      <w:r>
        <w:rPr>
          <w:bCs/>
          <w:b/>
        </w:rPr>
        <w:t xml:space="preserve">Clinical Insight:</w:t>
      </w:r>
      <w:r>
        <w:t xml:space="preserve"> </w:t>
      </w:r>
      <w:r>
        <w:t xml:space="preserve">"The shift towards viewing orthodontics as preventive healthcare, rather than just cosmetic enhancement, has been transformative. In Auckland, where lifestyle demands are high, making orthodontic care efficient and accessible is key to long-term success." — Lead Orthodontist Statement.</w:t>
      </w:r>
    </w:p>
    <w:bookmarkEnd w:id="27"/>
    <w:bookmarkStart w:id="28" w:name="diskussion-of-key-success-factors"/>
    <w:p>
      <w:pPr>
        <w:pStyle w:val="Heading2"/>
      </w:pPr>
      <w:r>
        <w:t xml:space="preserve">Diskussion of Key Success Factors</w:t>
      </w:r>
    </w:p>
    <w:p>
      <w:pPr>
        <w:pStyle w:val="FirstParagraph"/>
      </w:pPr>
      <w:r>
        <w:t xml:space="preserve">The success of this Orthodontist practice in New Zealand Auckland can be attributed to several critical factors. First, the recognition that oral health is intrinsically linked to overall well-being allowed the clinic to advocate for its services within broader public health discussions. Second, the adaptation to technological advancements provided a competitive edge and improved patient experience. Finally, the emphasis on cultural safety ensured that diverse communities felt welcome and supported.</w:t>
      </w:r>
    </w:p>
    <w:p>
      <w:pPr>
        <w:pStyle w:val="BodyText"/>
      </w:pPr>
      <w:r>
        <w:t xml:space="preserve">Furthermore, the practice actively engaged with local government health initiatives in Auckland to align their service delivery with regional health priorities. This alignment helped secure grants for community outreach programs, further embedding the clinic within the social fabric of New Zealand Auckland.</w:t>
      </w:r>
    </w:p>
    <w:bookmarkEnd w:id="28"/>
    <w:bookmarkStart w:id="29" w:name="challenges-and-future-directions"/>
    <w:p>
      <w:pPr>
        <w:pStyle w:val="Heading2"/>
      </w:pPr>
      <w:r>
        <w:t xml:space="preserve">Challenges and Future Directions</w:t>
      </w:r>
    </w:p>
    <w:p>
      <w:pPr>
        <w:pStyle w:val="FirstParagraph"/>
      </w:pPr>
      <w:r>
        <w:t xml:space="preserve">Despite the successes, challenges remain. The cost of living crisis in New Zealand Auckland has put additional financial pressure on families, potentially affecting their ability to afford private orthodontic care. Additionally, there is a national shortage of specialized dental professionals, which poses a risk to staffing levels.</w:t>
      </w:r>
    </w:p>
    <w:p>
      <w:pPr>
        <w:pStyle w:val="BodyText"/>
      </w:pPr>
      <w:r>
        <w:t xml:space="preserve">To mitigate these risks, the clinic plans to expand its tele-orthodontics capabilities further and invest in continuous professional development for its staff. They also intend to collaborate with other healthcare providers in Auckland to create integrated care pathways that address nutritional and systemic health issues alongside orthodontic treatment.</w:t>
      </w:r>
    </w:p>
    <w:bookmarkEnd w:id="29"/>
    <w:bookmarkStart w:id="30" w:name="conclusion"/>
    <w:p>
      <w:pPr>
        <w:pStyle w:val="Heading2"/>
      </w:pPr>
      <w:r>
        <w:t xml:space="preserve">Conclusion</w:t>
      </w:r>
    </w:p>
    <w:p>
      <w:pPr>
        <w:pStyle w:val="FirstParagraph"/>
      </w:pPr>
      <w:r>
        <w:t xml:space="preserve">This case study demonstrates that a well-structured Orthodontist practice can significantly impact public health outcomes in New Zealand Auckland. By addressing cultural, financial, and logistical barriers through innovative technology and community engagement, the clinic has set a benchmark for excellence in dental care. The results highlight the importance of adapting healthcare delivery to meet the specific needs of an urban population. As New Zealand Auckland continues to grow and diversify, such patient-centric models will be essential in ensuring equitable access to essential orthodontic services.</w:t>
      </w:r>
    </w:p>
    <w:p>
      <w:pPr>
        <w:pStyle w:val="BodyText"/>
      </w:pPr>
      <w:r>
        <w:t xml:space="preserve">The journey from traditional brick-and-mortar dentistry to a holistic, tech-enabled, and culturally aware model offers valuable lessons for healthcare providers globally. For the Orthodontist profession in New Zealand Auckland, this case study serves as both a testament to current achievements and a roadmap for future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Care in New Zealand Auckland</dc:title>
  <dc:creator/>
  <dc:language>en</dc:language>
  <cp:keywords/>
  <dcterms:created xsi:type="dcterms:W3CDTF">2026-07-29T18:24:00Z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