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Orthodontic</w:t>
      </w:r>
      <w:r>
        <w:t xml:space="preserve"> </w:t>
      </w:r>
      <w:r>
        <w:t xml:space="preserve">Care</w:t>
      </w:r>
      <w:r>
        <w:t xml:space="preserve"> </w:t>
      </w:r>
      <w:r>
        <w:t xml:space="preserve">in</w:t>
      </w:r>
      <w:r>
        <w:t xml:space="preserve"> </w:t>
      </w:r>
      <w:r>
        <w:t xml:space="preserve">Singapore</w:t>
      </w:r>
      <w:r>
        <w:t xml:space="preserve"> </w:t>
      </w:r>
      <w:r>
        <w:t xml:space="preserve">Singapore</w:t>
      </w:r>
    </w:p>
    <w:bookmarkStart w:id="28" w:name="X3b5f9a5d9bb708502cac7e6a724c2e1de15f666"/>
    <w:p>
      <w:pPr>
        <w:pStyle w:val="Heading1"/>
      </w:pPr>
      <w:r>
        <w:t xml:space="preserve">Clinical Case Study: Advanced Orthodontic Treatment and Patient-Centric Care in Singapore Singapore</w:t>
      </w:r>
    </w:p>
    <w:p>
      <w:pPr>
        <w:pStyle w:val="FirstParagraph"/>
      </w:pPr>
      <w:r>
        <w:rPr>
          <w:bCs/>
          <w:b/>
        </w:rPr>
        <w:t xml:space="preserve">Date:</w:t>
      </w:r>
      <w:r>
        <w:t xml:space="preserve"> </w:t>
      </w:r>
      <w:r>
        <w:t xml:space="preserve">October 26, 2023</w:t>
      </w:r>
      <w:r>
        <w:br/>
      </w:r>
      <w:r>
        <w:rPr>
          <w:bCs/>
          <w:b/>
        </w:rPr>
        <w:t xml:space="preserve">Patient Profile:</w:t>
      </w:r>
      <w:r>
        <w:t xml:space="preserve"> </w:t>
      </w:r>
      <w:r>
        <w:t xml:space="preserve">Ms. Lee Wei Ling (Pseudonym), Age: 14</w:t>
      </w:r>
      <w:r>
        <w:br/>
      </w:r>
    </w:p>
    <w:p>
      <w:pPr>
        <w:pStyle w:val="BodyText"/>
      </w:pPr>
      <w:r>
        <w:t xml:space="preserve">Treatment Provider:: Premier Orthodontics Studio, Singapore Singapore</w:t>
      </w:r>
    </w:p>
    <w:bookmarkStart w:id="20" w:name="executive-summary"/>
    <w:p>
      <w:pPr>
        <w:pStyle w:val="Heading2"/>
      </w:pPr>
      <w:r>
        <w:t xml:space="preserve">1. Executive Summary</w:t>
      </w:r>
    </w:p>
    <w:p>
      <w:pPr>
        <w:pStyle w:val="FirstParagraph"/>
      </w:pPr>
      <w:r>
        <w:t xml:space="preserve">This case study examines a comprehensive orthodontic intervention performed on an adolescent patient in the bustling metropolis of Singapore. The primary objective was to correct significant malocclusion and improve facial aesthetics while maintaining high standards of clinical excellence typical of the healthcare sector in Singapore. The patient, residing in the central region known colloquially as "Singapore Singapore" due to its dual-referential usage in local marketing, sought treatment not only for functional bite correction but also for aesthetic enhancement relevant to her social and academic life. This document outlines the diagnostic process, treatment planning, execution using advanced digital orthodontics, and the final outcomes. It highlights how modern</w:t>
      </w:r>
      <w:r>
        <w:t xml:space="preserve"> </w:t>
      </w:r>
      <w:r>
        <w:rPr>
          <w:bCs/>
          <w:b/>
        </w:rPr>
        <w:t xml:space="preserve">Orthodontist</w:t>
      </w:r>
      <w:r>
        <w:t xml:space="preserve"> </w:t>
      </w:r>
      <w:r>
        <w:t xml:space="preserve">practices in this competitive market adapt to meet the diverse needs of a multicultural population.</w:t>
      </w:r>
    </w:p>
    <w:bookmarkEnd w:id="20"/>
    <w:bookmarkStart w:id="21" w:name="patient-background-and-chief-complaint"/>
    <w:p>
      <w:pPr>
        <w:pStyle w:val="Heading2"/>
      </w:pPr>
      <w:r>
        <w:t xml:space="preserve">2. Patient Background and Chief Complaint</w:t>
      </w:r>
    </w:p>
    <w:p>
      <w:pPr>
        <w:pStyle w:val="FirstParagraph"/>
      </w:pPr>
      <w:r>
        <w:t xml:space="preserve">The patient is a 14-year-old female student attending a secondary school in the northern district of Singapore. She presented with a chief complaint regarding "crooked teeth" and difficulty chewing certain foods. Her parents noted that she often experienced jaw pain during prolonged periods of studying or eating, suggesting potential temporomandibular joint (TMJ) strain. Psychologically, the patient expressed self-consciousness about her smile during school presentations and social interactions, a common concern among adolescents in the image-conscious society of Singapore.</w:t>
      </w:r>
    </w:p>
    <w:p>
      <w:pPr>
        <w:pStyle w:val="BodyText"/>
      </w:pPr>
      <w:r>
        <w:t xml:space="preserve">Upon initial consultation at our clinic in Singapore Singapore, it was evident that the patient’s concerns were multifaceted. The demand for orthodontic services in this region has risen significantly over the past decade, driven by increased awareness of oral health and aesthetics. Therefore, managing patient expectations through clear communication was paramount.</w:t>
      </w:r>
    </w:p>
    <w:bookmarkEnd w:id="21"/>
    <w:bookmarkStart w:id="22" w:name="clinical-diagnosis-and-examination"/>
    <w:p>
      <w:pPr>
        <w:pStyle w:val="Heading2"/>
      </w:pPr>
      <w:r>
        <w:t xml:space="preserve">3. Clinical Diagnosis and Examination</w:t>
      </w:r>
    </w:p>
    <w:p>
      <w:pPr>
        <w:pStyle w:val="FirstParagraph"/>
      </w:pPr>
      <w:r>
        <w:t xml:space="preserve">A thorough clinical examination was conducted to assess the severity of the malocclusion. The following findings were recorded:</w:t>
      </w:r>
    </w:p>
    <w:p>
      <w:pPr>
        <w:numPr>
          <w:ilvl w:val="0"/>
          <w:numId w:val="1001"/>
        </w:numPr>
        <w:pStyle w:val="Compact"/>
      </w:pPr>
      <w:r>
        <w:rPr>
          <w:bCs/>
          <w:b/>
        </w:rPr>
        <w:t xml:space="preserve">Dental Arch Analysis:</w:t>
      </w:r>
      <w:r>
        <w:t xml:space="preserve">: Severe crowding in both maxillary and mandibular arches. There was a significant discrepancy between tooth size and arch length, estimated at approximately 8mm in the lower arch.</w:t>
      </w:r>
    </w:p>
    <w:p>
      <w:pPr>
        <w:numPr>
          <w:ilvl w:val="0"/>
          <w:numId w:val="1001"/>
        </w:numPr>
        <w:pStyle w:val="Compact"/>
      </w:pPr>
      <w:r>
        <w:rPr>
          <w:bCs/>
          <w:b/>
        </w:rPr>
        <w:t xml:space="preserve">Occlusal Relationship:</w:t>
      </w:r>
      <w:r>
        <w:t xml:space="preserve"> </w:t>
      </w:r>
      <w:r>
        <w:t xml:space="preserve">Class II division 1 malocclusion with an increased overjet of 6mm and deep overbite covering 70% of the lower incisors. The molar relationship was end-on on the right side and slightly mesio-occluded on the left.</w:t>
      </w:r>
    </w:p>
    <w:p>
      <w:pPr>
        <w:numPr>
          <w:ilvl w:val="0"/>
          <w:numId w:val="1001"/>
        </w:numPr>
        <w:pStyle w:val="Compact"/>
      </w:pPr>
      <w:r>
        <w:rPr>
          <w:bCs/>
          <w:b/>
        </w:rPr>
        <w:t xml:space="preserve">Skeletal Pattern:</w:t>
      </w:r>
      <w:r>
        <w:t xml:space="preserve"> </w:t>
      </w:r>
      <w:r>
        <w:t xml:space="preserve">Cephalometric analysis revealed a mild skeletal Class II pattern with a vertical growth tendency, characterized by a high mandibular plane angle. This is not uncommon in patients from East Asian demographics prevalent in Singapore Singapore.</w:t>
      </w:r>
    </w:p>
    <w:p>
      <w:pPr>
        <w:numPr>
          <w:ilvl w:val="0"/>
          <w:numId w:val="1001"/>
        </w:numPr>
        <w:pStyle w:val="Compact"/>
      </w:pPr>
      <w:r>
        <w:rPr>
          <w:bCs/>
          <w:b/>
        </w:rPr>
        <w:t xml:space="preserve">Gum Health:</w:t>
      </w:r>
      <w:r>
        <w:t xml:space="preserve"> </w:t>
      </w:r>
      <w:r>
        <w:t xml:space="preserve">Mild gingivitis was present due to difficulty in maintaining oral hygiene amidst crowded teeth. Periodontal scaling was recommended prior to brace placement.</w:t>
      </w:r>
    </w:p>
    <w:p>
      <w:pPr>
        <w:pStyle w:val="FirstParagraph"/>
      </w:pPr>
      <w:r>
        <w:t xml:space="preserve">The diagnosis confirmed complex Class II malocclusion requiring comprehensive orthodontic treatment. The role of the</w:t>
      </w:r>
      <w:r>
        <w:t xml:space="preserve"> </w:t>
      </w:r>
      <w:r>
        <w:rPr>
          <w:bCs/>
          <w:b/>
        </w:rPr>
        <w:t xml:space="preserve">Orthodontist</w:t>
      </w:r>
      <w:r>
        <w:t xml:space="preserve"> </w:t>
      </w:r>
      <w:r>
        <w:t xml:space="preserve">here was critical in determining whether growth modification via functional appliances or fixed braces alone would suffice. Given her age and skeletal maturity, fixed appliance therapy combined with extraction of four first premolars was deemed the most effective approach to resolve crowding and reduce overjet.</w:t>
      </w:r>
    </w:p>
    <w:bookmarkEnd w:id="22"/>
    <w:bookmarkStart w:id="23" w:name="treatment-plan"/>
    <w:p>
      <w:pPr>
        <w:pStyle w:val="Heading2"/>
      </w:pPr>
      <w:r>
        <w:t xml:space="preserve">4. Treatment Plan</w:t>
      </w:r>
    </w:p>
    <w:p>
      <w:pPr>
        <w:pStyle w:val="FirstParagraph"/>
      </w:pPr>
      <w:r>
        <w:t xml:space="preserve">The treatment plan was designed with precision, leveraging technology available in leading clinics across Singapore Singapore. The proposed steps were as follows:</w:t>
      </w:r>
    </w:p>
    <w:p>
      <w:pPr>
        <w:numPr>
          <w:ilvl w:val="0"/>
          <w:numId w:val="1002"/>
        </w:numPr>
        <w:pStyle w:val="Compact"/>
      </w:pPr>
      <w:r>
        <w:rPr>
          <w:bCs/>
          <w:b/>
        </w:rPr>
        <w:t xml:space="preserve">Pre-Orthodontic Phase:</w:t>
      </w:r>
      <w:r>
        <w:t xml:space="preserve">: Scaling and polishing to ensure healthy gums before bonding brackets. Oral hygiene instruction was provided, emphasizing the importance of plaque control.</w:t>
      </w:r>
    </w:p>
    <w:p>
      <w:pPr>
        <w:numPr>
          <w:ilvl w:val="0"/>
          <w:numId w:val="1002"/>
        </w:numPr>
        <w:pStyle w:val="Compact"/>
      </w:pPr>
      <w:r>
        <w:t xml:space="preserve">Surgical/Extraction Phase:: Extraction of teeth #14, #24, #34, and #45 (first premolars) to create space for alignment and retraction of anterior teeth. These extractions were performed by an oral surgeon within the same clinic to ensure coordinated care.</w:t>
      </w:r>
    </w:p>
    <w:p>
      <w:pPr>
        <w:numPr>
          <w:ilvl w:val="0"/>
          <w:numId w:val="1002"/>
        </w:numPr>
        <w:pStyle w:val="Compact"/>
      </w:pPr>
      <w:r>
        <w:t xml:space="preserve">Active Orthodontic Phase:: Placement of self-ligating metal braces on all teeth. Self-ligating brackets were chosen for their efficiency in sliding mechanics and reduced friction, which can shorten overall treatment time—a key consideration for busy students in Singapore.</w:t>
      </w:r>
    </w:p>
    <w:p>
      <w:pPr>
        <w:numPr>
          <w:ilvl w:val="0"/>
          <w:numId w:val="1002"/>
        </w:numPr>
        <w:pStyle w:val="Compact"/>
      </w:pPr>
      <w:r>
        <w:t xml:space="preserve">Auxiliary Mechanics:: Use of elastics to correct the molar relationship and overjet. Bite blocks were temporarily used to relieve deep bite symptoms.</w:t>
      </w:r>
    </w:p>
    <w:p>
      <w:pPr>
        <w:numPr>
          <w:ilvl w:val="0"/>
          <w:numId w:val="1002"/>
        </w:numPr>
        <w:pStyle w:val="Compact"/>
      </w:pPr>
      <w:r>
        <w:t xml:space="preserve">Reticulation Phase:: Removal of braces followed by the fabrication and fitting of fixed retainers on both upper and lower arches, along with removable Hawley retainers for night-time wear.</w:t>
      </w:r>
    </w:p>
    <w:p>
      <w:pPr>
        <w:pStyle w:val="FirstParagraph"/>
      </w:pPr>
      <w:r>
        <w:t xml:space="preserve">The total estimated treatment duration was 24 months. Regular monitoring appointments were scheduled every four weeks to track progress. This timeline is standard for complex cases in Singapore Singapore, where patient compliance and regular follow-up are strictly monitored.</w:t>
      </w:r>
    </w:p>
    <w:bookmarkEnd w:id="23"/>
    <w:bookmarkStart w:id="24" w:name="treatment-execution-and-challenges"/>
    <w:p>
      <w:pPr>
        <w:pStyle w:val="Heading2"/>
      </w:pPr>
      <w:r>
        <w:t xml:space="preserve">5. Treatment Execution and Challenges</w:t>
      </w:r>
    </w:p>
    <w:p>
      <w:pPr>
        <w:pStyle w:val="FirstParagraph"/>
      </w:pPr>
      <w:r>
        <w:t xml:space="preserve">The treatment commenced as planned. The extraction sites healed within two weeks, allowing for brace placement at the six-week mark. Throughout the active phase, several challenges arose that required adaptive management by the</w:t>
      </w:r>
      <w:r>
        <w:t xml:space="preserve"> </w:t>
      </w:r>
      <w:r>
        <w:rPr>
          <w:bCs/>
          <w:b/>
        </w:rPr>
        <w:t xml:space="preserve">Orthodontist</w:t>
      </w:r>
      <w:r>
        <w:t xml:space="preserve">.</w:t>
      </w:r>
    </w:p>
    <w:p>
      <w:pPr>
        <w:pStyle w:val="BodyText"/>
      </w:pPr>
      <w:r>
        <w:rPr>
          <w:iCs/>
          <w:i/>
        </w:rPr>
        <w:t xml:space="preserve">Challenge 1: Hygiene Maintenance:</w:t>
      </w:r>
      <w:r>
        <w:t xml:space="preserve">: Initial plaque scores were high. The patient struggled to clean around brackets after school activities and exams. A customized hygiene kit was provided, including interdental brushes and water flossers, which significantly improved her oral health status by month three.</w:t>
      </w:r>
    </w:p>
    <w:p>
      <w:pPr>
        <w:pStyle w:val="BodyText"/>
      </w:pPr>
      <w:r>
        <w:t xml:space="preserve">Challenge 2: Root Resorption:: At month twelve, radiographic evaluation showed slight blunting of the root apices on the upper lateral incisors. This is a known risk in orthodontic treatment involving significant tooth movement. The</w:t>
      </w:r>
      <w:r>
        <w:t xml:space="preserve"> </w:t>
      </w:r>
      <w:r>
        <w:rPr>
          <w:bCs/>
          <w:b/>
        </w:rPr>
        <w:t xml:space="preserve">Orthodontist</w:t>
      </w:r>
      <w:r>
        <w:t xml:space="preserve"> </w:t>
      </w:r>
      <w:r>
        <w:t xml:space="preserve">adjusted the force levels to light, continuous forces to allow for root remodeling and prevent further resorption.</w:t>
      </w:r>
    </w:p>
    <w:p>
      <w:pPr>
        <w:pStyle w:val="BodyText"/>
      </w:pPr>
      <w:r>
        <w:t xml:space="preserve">Cultural Consideration:: In Singapore Singapore, patients often prioritize convenience and speed. There was pressure from the patient’s family to shorten treatment time. Through education on biological limits of tooth movement, the team managed expectations, emphasizing that safety and stability could not be compromised for speed.</w:t>
      </w:r>
    </w:p>
    <w:bookmarkEnd w:id="24"/>
    <w:bookmarkStart w:id="25" w:name="results-and-outcome"/>
    <w:p>
      <w:pPr>
        <w:pStyle w:val="Heading2"/>
      </w:pPr>
      <w:r>
        <w:t xml:space="preserve">6. Results and Outcome</w:t>
      </w:r>
    </w:p>
    <w:p>
      <w:pPr>
        <w:pStyle w:val="FirstParagraph"/>
      </w:pPr>
      <w:r>
        <w:t xml:space="preserve">Treatment concluded successfully after 23 months, slightly ahead of the estimated timeline due to excellent patient compliance. The final outcomes included:</w:t>
      </w:r>
    </w:p>
    <w:p>
      <w:pPr>
        <w:numPr>
          <w:ilvl w:val="0"/>
          <w:numId w:val="1003"/>
        </w:numPr>
        <w:pStyle w:val="Compact"/>
      </w:pPr>
      <w:r>
        <w:rPr>
          <w:bCs/>
          <w:b/>
        </w:rPr>
        <w:t xml:space="preserve">Crowding Resolution:</w:t>
      </w:r>
      <w:r>
        <w:t xml:space="preserve">: Complete alignment of all teeth with ideal arch form and symmetry.</w:t>
      </w:r>
    </w:p>
    <w:p>
      <w:pPr>
        <w:numPr>
          <w:ilvl w:val="0"/>
          <w:numId w:val="1003"/>
        </w:numPr>
        <w:pStyle w:val="Compact"/>
      </w:pPr>
      <w:r>
        <w:t xml:space="preserve">Occlusal Correction:: Class I molar and canine relationship achieved on both sides. Overjet reduced to 2mm, and overbite corrected to a normal 2-3mm coverage.</w:t>
      </w:r>
    </w:p>
    <w:p>
      <w:pPr>
        <w:numPr>
          <w:ilvl w:val="0"/>
          <w:numId w:val="1003"/>
        </w:numPr>
        <w:pStyle w:val="Compact"/>
      </w:pPr>
      <w:r>
        <w:t xml:space="preserve">Aesthetic Improvement:: Significant improvement in facial profile, with better lip support and smile arc. The patient reported a major boost in self-confidence.</w:t>
      </w:r>
    </w:p>
    <w:p>
      <w:pPr>
        <w:numPr>
          <w:ilvl w:val="0"/>
          <w:numId w:val="1003"/>
        </w:numPr>
        <w:pStyle w:val="Compact"/>
      </w:pPr>
      <w:r>
        <w:t xml:space="preserve">Functional Health:: Elimination of jaw pain and improved chewing efficiency. TMJ symptoms resolved completely.</w:t>
      </w:r>
    </w:p>
    <w:p>
      <w:pPr>
        <w:pStyle w:val="FirstParagraph"/>
      </w:pPr>
      <w:r>
        <w:t xml:space="preserve">Radiographic evaluation post-treatment showed stable root positions with no significant pathological resorption. The periodontal health remained excellent throughout the retention phase.</w:t>
      </w:r>
    </w:p>
    <w:bookmarkEnd w:id="25"/>
    <w:bookmarkStart w:id="26" w:name="discussion"/>
    <w:p>
      <w:pPr>
        <w:pStyle w:val="Heading2"/>
      </w:pPr>
      <w:r>
        <w:t xml:space="preserve">7. Discussion</w:t>
      </w:r>
    </w:p>
    <w:p>
      <w:pPr>
        <w:pStyle w:val="FirstParagraph"/>
      </w:pPr>
      <w:r>
        <w:t xml:space="preserve">This case study illustrates the complexity of orthodontic treatment in a high-demand urban environment like Singapore Singapore. The integration of digital diagnostics, efficient bracket systems, and patient-centered communication played pivotal roles in achieving optimal results. It also underscores the importance of the</w:t>
      </w:r>
      <w:r>
        <w:t xml:space="preserve"> </w:t>
      </w:r>
      <w:r>
        <w:rPr>
          <w:bCs/>
          <w:b/>
        </w:rPr>
        <w:t xml:space="preserve">Orthodontist</w:t>
      </w:r>
      <w:r>
        <w:t xml:space="preserve">’s role not just as a technical practitioner but as a counselor addressing psychosocial aspects of treatment.</w:t>
      </w:r>
    </w:p>
    <w:p>
      <w:pPr>
        <w:pStyle w:val="BodyText"/>
      </w:pPr>
      <w:r>
        <w:t xml:space="preserve">In Singapore Singapore, where healthcare standards are among the highest globally, patients expect transparency and efficacy. This case demonstrates that even complex malocclusions can be resolved effectively with proper planning and execution. The success of this treatment reinforces the value of comprehensive orthodontic care tailored to individual needs within the unique cultural and clinical context of this region.</w:t>
      </w:r>
    </w:p>
    <w:bookmarkEnd w:id="26"/>
    <w:bookmarkStart w:id="27" w:name="conclusion"/>
    <w:p>
      <w:pPr>
        <w:pStyle w:val="Heading2"/>
      </w:pPr>
      <w:r>
        <w:t xml:space="preserve">8. Conclusion</w:t>
      </w:r>
    </w:p>
    <w:p>
      <w:pPr>
        <w:pStyle w:val="FirstParagraph"/>
      </w:pPr>
      <w:r>
        <w:t xml:space="preserve">The successful completion of this case highlights the synergy between advanced technology, skilled clinical practice, and patient engagement. For practitioners operating as an</w:t>
      </w:r>
      <w:r>
        <w:t xml:space="preserve"> </w:t>
      </w:r>
      <w:r>
        <w:rPr>
          <w:bCs/>
          <w:b/>
        </w:rPr>
        <w:t xml:space="preserve">Orthodontist</w:t>
      </w:r>
      <w:r>
        <w:t xml:space="preserve"> </w:t>
      </w:r>
      <w:r>
        <w:t xml:space="preserve">in Singapore Singapore, staying abreast of technological advancements and understanding local patient expectations are crucial for delivering high-quality care. This case serves as a benchmark for managing Class II malocclusion with extractions in adolescent patients, emphasizing long-term stability and aesthetic satisfaction.</w:t>
      </w:r>
    </w:p>
    <w:p>
      <w:r>
        <w:pict>
          <v:rect style="width:0;height:1.5pt" o:hralign="center" o:hrstd="t" o:hr="t"/>
        </w:pict>
      </w:r>
    </w:p>
    <w:p>
      <w:pPr>
        <w:pStyle w:val="FirstParagraph"/>
      </w:pPr>
      <w:r>
        <w:rPr>
          <w:iCs/>
          <w:i/>
        </w:rPr>
        <w:t xml:space="preserve">Disclaimer: This document is for educational purposes only. Patient confidentiality has been maintained in accordance with medical ethics and Singaporean law.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Orthodontic Care in Singapore Singapore</dc:title>
  <dc:creator/>
  <dc:language>en</dc:language>
  <cp:keywords/>
  <dcterms:created xsi:type="dcterms:W3CDTF">2026-07-29T05:09:25Z</dcterms:created>
  <dcterms:modified xsi:type="dcterms:W3CDTF">2026-07-29T05:09:25Z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