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South</w:t>
      </w:r>
      <w:r>
        <w:t xml:space="preserve"> </w:t>
      </w:r>
      <w:r>
        <w:t xml:space="preserve">Korea</w:t>
      </w:r>
      <w:r>
        <w:t xml:space="preserve"> </w:t>
      </w:r>
      <w:r>
        <w:t xml:space="preserve">Seoul</w:t>
      </w:r>
    </w:p>
    <w:bookmarkStart w:id="34" w:name="X060d8391a4b272efbf6bc608772251ebe36871c"/>
    <w:p>
      <w:pPr>
        <w:pStyle w:val="Heading1"/>
      </w:pPr>
      <w:r>
        <w:t xml:space="preserve">Case Study: Transformative Orthodontic Care in South Korea Seoul</w:t>
      </w:r>
    </w:p>
    <w:p>
      <w:pPr>
        <w:pStyle w:val="FirstParagraph"/>
      </w:pPr>
      <w:r>
        <w:rPr>
          <w:bCs/>
          <w:b/>
        </w:rPr>
        <w:t xml:space="preserve">Date:</w:t>
      </w:r>
      <w:r>
        <w:t xml:space="preserve"> </w:t>
      </w:r>
      <w:r>
        <w:t xml:space="preserve">October 24, 2023</w:t>
      </w:r>
      <w:r>
        <w:br/>
      </w:r>
    </w:p>
    <w:p>
      <w:pPr>
        <w:pStyle w:val="BodyText"/>
      </w:pPr>
      <w:r>
        <w:t xml:space="preserve">Location Focus:</w:t>
      </w:r>
      <w:r>
        <w:t xml:space="preserve"> </w:t>
      </w:r>
      <w:r>
        <w:rPr>
          <w:bCs/>
          <w:b/>
        </w:rPr>
        <w:t xml:space="preserve">Patient Profile:</w:t>
      </w:r>
      <w:r>
        <w:t xml:space="preserve">Mixed Case Class II Malocclusion with Skeletal Discrepancy</w:t>
      </w:r>
    </w:p>
    <w:bookmarkStart w:id="20" w:name="executive-summary"/>
    <w:p>
      <w:pPr>
        <w:pStyle w:val="Heading3"/>
      </w:pPr>
      <w:r>
        <w:t xml:space="preserve">Executive Summary</w:t>
      </w:r>
    </w:p>
    <w:p>
      <w:pPr>
        <w:pStyle w:val="FirstParagraph"/>
      </w:pPr>
      <w:r>
        <w:t xml:space="preserve">This case study explores the comprehensive orthodontic journey of a young professional residing in South Korea Seoul. The primary objective was to correct severe dental crowding and Class II skeletal discrepancy using state-of-the-art technology available in one of Asia’s leading medical hubs. By leveraging the unique advantages of practicing as an Orthodontist within the highly competitive and technologically advanced environment of Seoul, this case demonstrates how modern orthodontic treatments achieve aesthetic perfection while maintaining functional occlusion.</w:t>
      </w:r>
    </w:p>
    <w:bookmarkEnd w:id="20"/>
    <w:bookmarkStart w:id="21" w:name="introduction-to-the-clinical-setting"/>
    <w:p>
      <w:pPr>
        <w:pStyle w:val="Heading2"/>
      </w:pPr>
      <w:r>
        <w:t xml:space="preserve">1. Introduction to the Clinical Setting</w:t>
      </w:r>
    </w:p>
    <w:p>
      <w:pPr>
        <w:pStyle w:val="FirstParagraph"/>
      </w:pPr>
      <w:r>
        <w:t xml:space="preserve">The landscape of dentistry in South Korea is globally recognized for its rapid adoption of digital health technologies and high standards of patient care. Seoul, as the capital, serves as the epicenter for this medical innovation. For an Orthodontist operating in this region, there is an expectation not only to treat malocclusions but to enhance facial aesthetics through "smile design." This cultural emphasis on aesthetic refinement drives the need for precise diagnostics and minimally invasive treatment plans.</w:t>
      </w:r>
    </w:p>
    <w:p>
      <w:pPr>
        <w:pStyle w:val="BodyText"/>
      </w:pPr>
      <w:r>
        <w:t xml:space="preserve">In South Korea Seoul, the integration of artificial intelligence (AI) and 3D printing into daily orthodontic practice is not a luxury but a standard protocol. This case study highlights how these tools were utilized to plan and execute treatment for a patient seeking correction of their bite and smile aesthetics.</w:t>
      </w:r>
    </w:p>
    <w:bookmarkEnd w:id="21"/>
    <w:bookmarkStart w:id="22" w:name="patient-profile-and-chief-complaint"/>
    <w:p>
      <w:pPr>
        <w:pStyle w:val="Heading2"/>
      </w:pPr>
      <w:r>
        <w:t xml:space="preserve">2. Patient Profile and Chief Complaint</w:t>
      </w:r>
    </w:p>
    <w:p>
      <w:pPr>
        <w:pStyle w:val="FirstParagraph"/>
      </w:pPr>
      <w:r>
        <w:t xml:space="preserve">The patient, a 28-year-old female professional working in the finance sector in Gangnam, South Korea Seoul, presented with significant self-consciousness regarding her profile. Her chief complaints included:</w:t>
      </w:r>
    </w:p>
    <w:p>
      <w:pPr>
        <w:numPr>
          <w:ilvl w:val="0"/>
          <w:numId w:val="1001"/>
        </w:numPr>
        <w:pStyle w:val="Compact"/>
      </w:pPr>
      <w:r>
        <w:rPr>
          <w:bCs/>
          <w:b/>
        </w:rPr>
        <w:t xml:space="preserve">Dental Crowding:</w:t>
      </w:r>
      <w:r>
        <w:t xml:space="preserve"> </w:t>
      </w:r>
      <w:r>
        <w:t xml:space="preserve">Severe rotation of the lower anterior teeth.</w:t>
      </w:r>
    </w:p>
    <w:p>
      <w:pPr>
        <w:numPr>
          <w:ilvl w:val="0"/>
          <w:numId w:val="1001"/>
        </w:numPr>
        <w:pStyle w:val="Compact"/>
      </w:pPr>
      <w:r>
        <w:rPr>
          <w:bCs/>
          <w:b/>
        </w:rPr>
        <w:t xml:space="preserve">Skeletal Discrepancy:</w:t>
      </w:r>
      <w:r>
        <w:t xml:space="preserve">A recessive chin and protrusive upper lips, indicative of a Class II skeletal pattern.</w:t>
      </w:r>
    </w:p>
    <w:p>
      <w:pPr>
        <w:numPr>
          <w:ilvl w:val="0"/>
          <w:numId w:val="1001"/>
        </w:numPr>
        <w:pStyle w:val="Compact"/>
      </w:pPr>
      <w:r>
        <w:rPr>
          <w:bCs/>
          <w:b/>
        </w:rPr>
        <w:t xml:space="preserve">Aesthetic Concerns:</w:t>
      </w:r>
      <w:r>
        <w:t xml:space="preserve">Gummy smile and lack of lip support during smiling.</w:t>
      </w:r>
    </w:p>
    <w:p>
      <w:pPr>
        <w:pStyle w:val="FirstParagraph"/>
      </w:pPr>
      <w:r>
        <w:t xml:space="preserve">The patient had previously consulted two other clinics in South Korea Seoul but was hesitant to undergo invasive jaw surgery due to the prolonged recovery time and social implications for her career. She sought a non-surgical orthodontic approach that could mimic skeletal correction through dental compensation.</w:t>
      </w:r>
    </w:p>
    <w:bookmarkEnd w:id="22"/>
    <w:bookmarkStart w:id="25" w:name="diagnostic-phase"/>
    <w:p>
      <w:pPr>
        <w:pStyle w:val="Heading2"/>
      </w:pPr>
      <w:r>
        <w:t xml:space="preserve">3. Diagnostic Phase</w:t>
      </w:r>
    </w:p>
    <w:p>
      <w:pPr>
        <w:pStyle w:val="FirstParagraph"/>
      </w:pPr>
      <w:r>
        <w:t xml:space="preserve">As an Orthodontist, the initial phase in South Korea Seoul involved advanced digital diagnostics that are standard in leading clinics:</w:t>
      </w:r>
    </w:p>
    <w:bookmarkStart w:id="23" w:name="a.-digital-impression-and-cbct-scanning"/>
    <w:p>
      <w:pPr>
        <w:pStyle w:val="Heading3"/>
      </w:pPr>
      <w:r>
        <w:t xml:space="preserve">A. Digital Impression and CBCT Scanning</w:t>
      </w:r>
    </w:p>
    <w:p>
      <w:pPr>
        <w:pStyle w:val="FirstParagraph"/>
      </w:pPr>
      <w:r>
        <w:t xml:space="preserve">Intraoral scanners were used to create precise 3D models of the patient’s dentition. Concurrently, Cone Beam Computed Tomography (CBCT) was utilized to assess bone structure, root positions, and airway patency. This level of diagnostic precision is critical in South Korea Seoul, where clinics prioritize minimizing retainer wear and maximizing treatment efficiency.</w:t>
      </w:r>
    </w:p>
    <w:bookmarkEnd w:id="23"/>
    <w:bookmarkStart w:id="24" w:name="b.-cephalometric-analysis"/>
    <w:p>
      <w:pPr>
        <w:pStyle w:val="Heading3"/>
      </w:pPr>
      <w:r>
        <w:t xml:space="preserve">B. Cephalometric Analysis</w:t>
      </w:r>
    </w:p>
    <w:p>
      <w:pPr>
        <w:pStyle w:val="FirstParagraph"/>
      </w:pPr>
      <w:r>
        <w:t xml:space="preserve">Digital cephalometric tracing revealed an ANB angle of 6 degrees, confirming a mild to moderate skeletal Class II pattern. The lower incisors were retroclined due to previous compensatory mechanisms from the crowding.</w:t>
      </w:r>
    </w:p>
    <w:bookmarkEnd w:id="24"/>
    <w:bookmarkEnd w:id="25"/>
    <w:bookmarkStart w:id="26" w:name="treatment-plan-development"/>
    <w:p>
      <w:pPr>
        <w:pStyle w:val="Heading2"/>
      </w:pPr>
      <w:r>
        <w:t xml:space="preserve">4. Treatment Plan Development</w:t>
      </w:r>
    </w:p>
    <w:p>
      <w:pPr>
        <w:pStyle w:val="FirstParagraph"/>
      </w:pPr>
      <w:r>
        <w:t xml:space="preserve">The treatment plan focused on "Camouflage Therapy." Instead of orthognathic surgery, the goal was to intrude anterior teeth and retract them significantly to improve lip posture and profile convexity. The chosen provider, a specialist Orthodontist affiliated with a major university hospital in South Korea Seoul, selected clear aligner therapy combined with temporary anchorage devices (TADs).</w:t>
      </w:r>
    </w:p>
    <w:p>
      <w:pPr>
        <w:pStyle w:val="BodyText"/>
      </w:pPr>
      <w:r>
        <w:rPr>
          <w:bCs/>
          <w:b/>
        </w:rPr>
        <w:t xml:space="preserve">Rationale for Treatment Choice:</w:t>
      </w:r>
    </w:p>
    <w:p>
      <w:pPr>
        <w:numPr>
          <w:ilvl w:val="0"/>
          <w:numId w:val="1002"/>
        </w:numPr>
        <w:pStyle w:val="Compact"/>
      </w:pPr>
      <w:r>
        <w:rPr>
          <w:bCs/>
          <w:b/>
        </w:rPr>
        <w:t xml:space="preserve">Aesthetics:</w:t>
      </w:r>
      <w:r>
        <w:t xml:space="preserve">The patient desired an invisible solution during her active career phase.</w:t>
      </w:r>
    </w:p>
    <w:p>
      <w:pPr>
        <w:numPr>
          <w:ilvl w:val="0"/>
          <w:numId w:val="1002"/>
        </w:numPr>
        <w:pStyle w:val="Compact"/>
      </w:pPr>
      <w:r>
        <w:t xml:space="preserve">Precision of TADs:The use of mini-implants allows for absolute anchorage, enabling the retraction of anterior teeth without pushing back the molars. This is crucial for correcting Class II relationships non-surgically.</w:t>
      </w:r>
    </w:p>
    <w:p>
      <w:pPr>
        <w:numPr>
          <w:ilvl w:val="0"/>
          <w:numId w:val="1002"/>
        </w:numPr>
        <w:pStyle w:val="Compact"/>
      </w:pPr>
      <w:r>
        <w:t xml:space="preserve">Tech Integration:South Korea Seoul clinics often utilize proprietary software that predicts tooth movement with high accuracy, reducing overall treatment time.</w:t>
      </w:r>
    </w:p>
    <w:bookmarkEnd w:id="26"/>
    <w:bookmarkStart w:id="30" w:name="execution-of-treatment"/>
    <w:p>
      <w:pPr>
        <w:pStyle w:val="Heading2"/>
      </w:pPr>
      <w:r>
        <w:t xml:space="preserve">5. Execution of Treatment</w:t>
      </w:r>
    </w:p>
    <w:p>
      <w:pPr>
        <w:pStyle w:val="FirstParagraph"/>
      </w:pPr>
      <w:r>
        <w:t xml:space="preserve">The treatment duration was estimated at 18 months. The process involved several key stages:</w:t>
      </w:r>
    </w:p>
    <w:bookmarkStart w:id="27" w:name="a.-phase-1-alignment-and-space-creation"/>
    <w:p>
      <w:pPr>
        <w:pStyle w:val="Heading3"/>
      </w:pPr>
      <w:r>
        <w:t xml:space="preserve">A. Phase 1: Alignment and Space Creation</w:t>
      </w:r>
    </w:p>
    <w:p>
      <w:pPr>
        <w:pStyle w:val="FirstParagraph"/>
      </w:pPr>
      <w:r>
        <w:t xml:space="preserve">The first six months focused on aligning the crowded lower arch using clear aligners. Proximal reduction (IPR) was performed to create necessary space for incisor alignment without expanding the arch, which could have worsened the profile.</w:t>
      </w:r>
    </w:p>
    <w:bookmarkEnd w:id="27"/>
    <w:bookmarkStart w:id="28" w:name="b.-phase-2-anchorage-and-retraction"/>
    <w:p>
      <w:pPr>
        <w:pStyle w:val="Heading3"/>
      </w:pPr>
      <w:r>
        <w:t xml:space="preserve">B. Phase 2: Anchorage and Retraction</w:t>
      </w:r>
    </w:p>
    <w:p>
      <w:pPr>
        <w:pStyle w:val="FirstParagraph"/>
      </w:pPr>
      <w:r>
        <w:t xml:space="preserve">TADs were placed in the posterior maxilla and mandible. These devices provided rigid anchorage, allowing for significant retraction of the upper incisors. This step was critical in reducing the overjet and improving the nasolabial angle. The use of TADs is particularly prevalent and refined in South Korea Seoul, where orthodontists have extensive experience with their placement and biomechanics.</w:t>
      </w:r>
    </w:p>
    <w:bookmarkEnd w:id="28"/>
    <w:bookmarkStart w:id="29" w:name="c.-phase-3-finishing"/>
    <w:p>
      <w:pPr>
        <w:pStyle w:val="Heading3"/>
      </w:pPr>
      <w:r>
        <w:t xml:space="preserve">C. Phase 3: Finishing</w:t>
      </w:r>
    </w:p>
    <w:p>
      <w:pPr>
        <w:pStyle w:val="FirstParagraph"/>
      </w:pPr>
      <w:r>
        <w:t xml:space="preserve">The final phase involved detailing the occlusion, ensuring perfect intercuspation of upper and lower teeth. Final adjustments were made to the root parallelism using CBCT verification to ensure stability.</w:t>
      </w:r>
    </w:p>
    <w:bookmarkEnd w:id="29"/>
    <w:bookmarkEnd w:id="30"/>
    <w:bookmarkStart w:id="31" w:name="results-and-outcomes"/>
    <w:p>
      <w:pPr>
        <w:pStyle w:val="Heading2"/>
      </w:pPr>
      <w:r>
        <w:t xml:space="preserve">6. Results and Outcomes</w:t>
      </w:r>
    </w:p>
    <w:p>
      <w:pPr>
        <w:numPr>
          <w:ilvl w:val="0"/>
          <w:numId w:val="1003"/>
        </w:numPr>
        <w:pStyle w:val="Compact"/>
      </w:pPr>
      <w:r>
        <w:rPr>
          <w:bCs/>
          <w:b/>
        </w:rPr>
        <w:t xml:space="preserve">Dental Alignment:</w:t>
      </w:r>
      <w:r>
        <w:t xml:space="preserve">All teeth were perfectly aligned with no rotations remaining.</w:t>
      </w:r>
    </w:p>
    <w:p>
      <w:pPr>
        <w:numPr>
          <w:ilvl w:val="0"/>
          <w:numId w:val="1003"/>
        </w:numPr>
        <w:pStyle w:val="Compact"/>
      </w:pPr>
      <w:r>
        <w:t xml:space="preserve">Skeletal/Aesthetic Improvement:Although the underlying bone structure remained unchanged, the dental compensation resulted in a straighter profile. The lip posture improved significantly, with the upper lip showing less protrusion and better support from the retracted incisors.</w:t>
      </w:r>
    </w:p>
    <w:p>
      <w:pPr>
        <w:numPr>
          <w:ilvl w:val="0"/>
          <w:numId w:val="1003"/>
        </w:numPr>
        <w:pStyle w:val="Compact"/>
      </w:pPr>
      <w:r>
        <w:t xml:space="preserve">Patient Satisfaction:The patient reported a boost in confidence and social ease. She noted that because she studied this as an Orthodontist case in South Korea Seoul, she was impressed by the transparency of the digital previews which matched her final result almost perfectly.</w:t>
      </w:r>
    </w:p>
    <w:bookmarkEnd w:id="31"/>
    <w:bookmarkStart w:id="32" w:name="discussion-the-role-of-location"/>
    <w:p>
      <w:pPr>
        <w:pStyle w:val="Heading2"/>
      </w:pPr>
      <w:r>
        <w:t xml:space="preserve">7. Discussion: The Role of Location</w:t>
      </w:r>
    </w:p>
    <w:p>
      <w:pPr>
        <w:pStyle w:val="FirstParagraph"/>
      </w:pPr>
      <w:r>
        <w:t xml:space="preserve">This case underscores the specific advantages of receiving orthodontic care in South Korea Seoul. The density of specialized Orthodontist practitioners in this region fosters a competitive environment that drives innovation. Patients have access to:</w:t>
      </w:r>
    </w:p>
    <w:p>
      <w:pPr>
        <w:numPr>
          <w:ilvl w:val="0"/>
          <w:numId w:val="1004"/>
        </w:numPr>
        <w:pStyle w:val="Compact"/>
      </w:pPr>
      <w:r>
        <w:t xml:space="preserve">Rapid Technology Adoption:Newer materials and digital workflows are available faster than in many Western markets.</w:t>
      </w:r>
    </w:p>
    <w:p>
      <w:pPr>
        <w:numPr>
          <w:ilvl w:val="0"/>
          <w:numId w:val="1004"/>
        </w:numPr>
        <w:pStyle w:val="Compact"/>
      </w:pPr>
      <w:r>
        <w:t xml:space="preserve">Multidisciplinary Approach:The close collaboration between orthodontists, oral surgeons, and periodontists in South Korea Seoul allows for complex cases like this to be managed holistically.</w:t>
      </w:r>
    </w:p>
    <w:p>
      <w:pPr>
        <w:numPr>
          <w:ilvl w:val="0"/>
          <w:numId w:val="1004"/>
        </w:numPr>
        <w:pStyle w:val="Compact"/>
      </w:pPr>
      <w:r>
        <w:t xml:space="preserve">Patient-Centric Care:The high expectation of service quality in South Korea Seoul means that clinics invest heavily in patient communication and comfort, ensuring that psychological aspects of treatment are addressed alongside clinical needs.</w:t>
      </w:r>
    </w:p>
    <w:bookmarkEnd w:id="32"/>
    <w:bookmarkStart w:id="33" w:name="conclusion"/>
    <w:p>
      <w:pPr>
        <w:pStyle w:val="Heading2"/>
      </w:pPr>
      <w:r>
        <w:t xml:space="preserve">8. Conclusion</w:t>
      </w:r>
    </w:p>
    <w:p>
      <w:pPr>
        <w:pStyle w:val="FirstParagraph"/>
      </w:pPr>
      <w:r>
        <w:t xml:space="preserve">This case study illustrates the effectiveness of non-surgical orthodontic camouflage in correcting Class II malocclusion. The success was largely attributable to the precise application of biomechanics facilitated by TADs and digital planning tools available to an Orthodontist in South Korea Seoul. The location is not merely a backdrop but a facilitator; the ecosystem in South Korea Seoul provides the technological infrastructure and clinical expertise necessary for such high-precision outcomes. For patients seeking aesthetic refinement combined with functional correction, this case demonstrates that modern orthodontics in Seoul offers world-class results that meet both clinical standards and personal aesthetic goals.</w:t>
      </w:r>
    </w:p>
    <w:p>
      <w:pPr>
        <w:pStyle w:val="BodyText"/>
      </w:pPr>
      <w:r>
        <w:rPr>
          <w:bCs/>
          <w:b/>
        </w:rPr>
        <w:t xml:space="preserve">Final Note:</w:t>
      </w:r>
      <w:r>
        <w:t xml:space="preserve"> </w:t>
      </w:r>
      <w:r>
        <w:t xml:space="preserve">This document serves as an educational example for prospective patients and practitioners interested in the capabilities of orthodontic care within the South Korea Seoul region. It highlights how specialized expertise in Orthodontics can deliver transformative results even when surgical options are declined.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South Korea Seoul</dc:title>
  <dc:creator/>
  <dc:language>en</dc:language>
  <cp:keywords/>
  <dcterms:created xsi:type="dcterms:W3CDTF">2026-07-29T07:44:53Z</dcterms:created>
  <dcterms:modified xsi:type="dcterms:W3CDTF">2026-07-29T07:44:53Z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