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linical-case-study-report"/>
    <w:p>
      <w:pPr>
        <w:pStyle w:val="Heading1"/>
      </w:pPr>
      <w:r>
        <w:t xml:space="preserve">Clinical Case Study Report</w:t>
      </w:r>
    </w:p>
    <w:bookmarkStart w:id="20" w:name="X660a68ad01bd6ffafc282a3ae8d72be0ecc7f4d"/>
    <w:p>
      <w:pPr>
        <w:pStyle w:val="Heading2"/>
      </w:pPr>
      <w:r>
        <w:t xml:space="preserve">Patient Profile and Initial Assessment in Spain Valencia</w:t>
      </w:r>
    </w:p>
    <w:p>
      <w:pPr>
        <w:pStyle w:val="FirstParagraph"/>
      </w:pPr>
      <w:r>
        <w:t xml:space="preserve">This comprehensive case study examines the successful orthodontic treatment of a 14-year-old male patient residing in the vibrant coastal city of</w:t>
      </w:r>
      <w:r>
        <w:t xml:space="preserve"> </w:t>
      </w:r>
      <w:r>
        <w:rPr>
          <w:bCs/>
          <w:b/>
        </w:rPr>
        <w:t xml:space="preserve">Spain Valencia</w:t>
      </w:r>
      <w:r>
        <w:t xml:space="preserve">. The primary objective of this report is to detail the diagnostic process, treatment planning, and clinical execution involved in correcting complex malocclusion issues using modern orthodontic technology. By analyzing this specific case, we aim to highlight the efficacy of contemporary</w:t>
      </w:r>
      <w:r>
        <w:t xml:space="preserve"> </w:t>
      </w:r>
      <w:r>
        <w:rPr>
          <w:iCs/>
          <w:i/>
          <w:bCs/>
          <w:b/>
        </w:rPr>
        <w:t xml:space="preserve">Orthodontist</w:t>
      </w:r>
      <w:r>
        <w:t xml:space="preserve"> </w:t>
      </w:r>
      <w:r>
        <w:t xml:space="preserve">practices within the Mediterranean healthcare context, demonstrating how localized dental standards integrate with international best practices.</w:t>
      </w:r>
    </w:p>
    <w:p>
      <w:pPr>
        <w:pStyle w:val="BodyText"/>
      </w:pPr>
      <w:r>
        <w:t xml:space="preserve">The patient presented with a Class II skeletal division 1 malocclusion, characterized by a significant overjet and an upper lip protrusion. He was referred to our specialized clinic in the heart of</w:t>
      </w:r>
      <w:r>
        <w:t xml:space="preserve"> </w:t>
      </w:r>
      <w:r>
        <w:rPr>
          <w:iCs/>
          <w:i/>
          <w:bCs/>
          <w:b/>
        </w:rPr>
        <w:t xml:space="preserve">Spain Valencia</w:t>
      </w:r>
      <w:r>
        <w:t xml:space="preserve"> </w:t>
      </w:r>
      <w:r>
        <w:t xml:space="preserve">following a recommendation from his primary pediatric dentist. The initial consultation revealed not only aesthetic concerns regarding dental alignment but also functional issues, including mild difficulty in biting certain foods and occasional speech impediments related to tongue positioning against protruding incisors. The patient’s parents were particularly interested in minimizing treatment duration while ensuring high aesthetic outcomes, a common preference among families in the cosmopolitan urban center of</w:t>
      </w:r>
      <w:r>
        <w:t xml:space="preserve"> </w:t>
      </w:r>
      <w:r>
        <w:rPr>
          <w:iCs/>
          <w:i/>
          <w:bCs/>
          <w:b/>
        </w:rPr>
        <w:t xml:space="preserve">Spain Valencia</w:t>
      </w:r>
      <w:r>
        <w:t xml:space="preserve">.</w:t>
      </w:r>
    </w:p>
    <w:bookmarkEnd w:id="20"/>
    <w:bookmarkStart w:id="21" w:name="X86d99a92830e28deb06ecfff026eab86a661c95"/>
    <w:p>
      <w:pPr>
        <w:pStyle w:val="Heading2"/>
      </w:pPr>
      <w:r>
        <w:t xml:space="preserve">Digital Diagnostics and Treatment Planning</w:t>
      </w:r>
    </w:p>
    <w:p>
      <w:pPr>
        <w:pStyle w:val="FirstParagraph"/>
      </w:pPr>
      <w:r>
        <w:t xml:space="preserve">In modern orthodontics, precision is paramount. Upon arrival at our clinic in</w:t>
      </w:r>
      <w:r>
        <w:t xml:space="preserve"> </w:t>
      </w:r>
      <w:r>
        <w:rPr>
          <w:iCs/>
          <w:i/>
          <w:bCs/>
          <w:b/>
        </w:rPr>
        <w:t xml:space="preserve">Spain Valencia</w:t>
      </w:r>
      <w:r>
        <w:t xml:space="preserve">, we utilized advanced intraoral scanning technology to create a precise 3D digital model of the patient’s dentition. This digital workflow replaced traditional alginate impressions, providing greater comfort for the young patient and allowing for more accurate analysis of occlusal relationships.</w:t>
      </w:r>
    </w:p>
    <w:p>
      <w:pPr>
        <w:pStyle w:val="BodyText"/>
      </w:pPr>
      <w:r>
        <w:t xml:space="preserve">The diagnostic phase involved a thorough review of lateral cephalometric radiographs and panoramic X-rays. The cephalometric analysis confirmed the skeletal discrepancy between the maxilla and mandible. As an experienced</w:t>
      </w:r>
      <w:r>
        <w:t xml:space="preserve"> </w:t>
      </w:r>
      <w:r>
        <w:rPr>
          <w:iCs/>
          <w:i/>
          <w:bCs/>
          <w:b/>
        </w:rPr>
        <w:t xml:space="preserve">Orthodontist</w:t>
      </w:r>
      <w:r>
        <w:t xml:space="preserve">, I determined that while growth modification could still be effective at age 14, fixed appliances would likely be required to achieve ideal tooth positioning within a reasonable timeframe.</w:t>
      </w:r>
    </w:p>
    <w:p>
      <w:pPr>
        <w:pStyle w:val="BodyText"/>
      </w:pPr>
      <w:r>
        <w:t xml:space="preserve">The treatment plan was developed collaboratively with the patient and his guardians. We opted for self-ligating brackets placed on the upper arch and lingual braces on the lower arch. This hybrid approach was chosen specifically to enhance aesthetics from the front view while providing precise control over root positioning. The choice of technology reflects the high standard of care available in</w:t>
      </w:r>
      <w:r>
        <w:t xml:space="preserve"> </w:t>
      </w:r>
      <w:r>
        <w:rPr>
          <w:iCs/>
          <w:i/>
          <w:bCs/>
          <w:b/>
        </w:rPr>
        <w:t xml:space="preserve">Spain Valencia</w:t>
      </w:r>
      <w:r>
        <w:t xml:space="preserve">, where patients have access to some of Europe’s most advanced dental technologies.</w:t>
      </w:r>
    </w:p>
    <w:bookmarkEnd w:id="21"/>
    <w:bookmarkStart w:id="23" w:name="clinical-execution-and-progress"/>
    <w:p>
      <w:pPr>
        <w:pStyle w:val="Heading2"/>
      </w:pPr>
      <w:r>
        <w:t xml:space="preserve">Clinical Execution and Progress</w:t>
      </w:r>
    </w:p>
    <w:p>
      <w:pPr>
        <w:pStyle w:val="FirstParagraph"/>
      </w:pPr>
      <w:r>
        <w:t xml:space="preserve">The bonding procedure took approximately two hours. Due to the use of self-ligating brackets, the initial activation forces were gentle yet consistent, promoting faster tooth movement with reduced discomfort compared to traditional elastic-tied braces. Throughout the treatment period in</w:t>
      </w:r>
      <w:r>
        <w:t xml:space="preserve"> </w:t>
      </w:r>
      <w:r>
        <w:rPr>
          <w:iCs/>
          <w:i/>
          <w:bCs/>
          <w:b/>
        </w:rPr>
        <w:t xml:space="preserve">Spain Valencia</w:t>
      </w:r>
      <w:r>
        <w:t xml:space="preserve">, we maintained a strict schedule of monthly adjustments.</w:t>
      </w:r>
    </w:p>
    <w:p>
      <w:pPr>
        <w:pStyle w:val="BodyText"/>
      </w:pPr>
      <w:r>
        <w:t xml:space="preserve">The first three months focused on leveling and aligning the arches. The patient reported minimal soreness, allowing him to continue his regular activities, including swimming lessons along the beaches of</w:t>
      </w:r>
      <w:r>
        <w:t xml:space="preserve"> </w:t>
      </w:r>
      <w:r>
        <w:rPr>
          <w:iCs/>
          <w:i/>
          <w:bCs/>
          <w:b/>
        </w:rPr>
        <w:t xml:space="preserve">Spain Valencia</w:t>
      </w:r>
      <w:r>
        <w:t xml:space="preserve">. Compliance with hygiene protocols was critical; we educated the patient and his family on specific brushing techniques required for this type of appliance to prevent decalcification or gingivitis.</w:t>
      </w:r>
    </w:p>
    <w:p>
      <w:pPr>
        <w:pStyle w:val="BodyText"/>
      </w:pPr>
      <w:r>
        <w:t xml:space="preserve">By month six, significant correction in overjet was observed. The midline discrepancies began to resolve, and the patient’s confidence grew visibly. At this stage, as any dedicated</w:t>
      </w:r>
      <w:r>
        <w:t xml:space="preserve"> </w:t>
      </w:r>
      <w:r>
        <w:rPr>
          <w:iCs/>
          <w:i/>
          <w:bCs/>
          <w:b/>
        </w:rPr>
        <w:t xml:space="preserve">Orthodontist</w:t>
      </w:r>
      <w:r>
        <w:t xml:space="preserve"> </w:t>
      </w:r>
      <w:r>
        <w:t xml:space="preserve">would note, attention shifted to space closure and root paralleling. We introduced power chains on the upper arch to retract the front teeth further into their ideal aesthetic position.</w:t>
      </w:r>
    </w:p>
    <w:bookmarkStart w:id="22" w:name="addressing-local-environmental-factors"/>
    <w:p>
      <w:pPr>
        <w:pStyle w:val="Heading3"/>
      </w:pPr>
      <w:r>
        <w:t xml:space="preserve">Addressing Local Environmental Factors</w:t>
      </w:r>
    </w:p>
    <w:p>
      <w:pPr>
        <w:pStyle w:val="FirstParagraph"/>
      </w:pPr>
      <w:r>
        <w:t xml:space="preserve">Treating patients in</w:t>
      </w:r>
      <w:r>
        <w:t xml:space="preserve"> </w:t>
      </w:r>
      <w:r>
        <w:rPr>
          <w:iCs/>
          <w:i/>
          <w:bCs/>
          <w:b/>
        </w:rPr>
        <w:t xml:space="preserve">Spain Valencia</w:t>
      </w:r>
      <w:r>
        <w:t xml:space="preserve"> </w:t>
      </w:r>
      <w:r>
        <w:t xml:space="preserve">presents unique opportunities and considerations. The local climate, characterized by warm temperatures year-round, can sometimes influence dietary habits. We advised the patient to avoid extremely hard or sticky foods that could damage the brackets, a precaution universally applicable but particularly relevant given the social dining culture prevalent in</w:t>
      </w:r>
      <w:r>
        <w:t xml:space="preserve"> </w:t>
      </w:r>
      <w:r>
        <w:rPr>
          <w:iCs/>
          <w:i/>
          <w:bCs/>
          <w:b/>
        </w:rPr>
        <w:t xml:space="preserve">Spain Valencia</w:t>
      </w:r>
      <w:r>
        <w:t xml:space="preserve">. Regular monitoring ensured that no unplanned appointments were necessary for broken appliances, maintaining the integrity of the treatment timeline.</w:t>
      </w:r>
    </w:p>
    <w:bookmarkEnd w:id="22"/>
    <w:bookmarkEnd w:id="23"/>
    <w:bookmarkStart w:id="24" w:name="retention-and-final-outcomes"/>
    <w:p>
      <w:pPr>
        <w:pStyle w:val="Heading2"/>
      </w:pPr>
      <w:r>
        <w:t xml:space="preserve">Retention and Final Outcomes</w:t>
      </w:r>
    </w:p>
    <w:p>
      <w:pPr>
        <w:pStyle w:val="FirstParagraph"/>
      </w:pPr>
      <w:r>
        <w:t xml:space="preserve">The total active treatment period lasted 18 months. The final result demonstrated a perfect Class I occlusion with ideal overjet and overbite values. The facial profile improved significantly, resulting in enhanced lip competence and balanced soft tissue aesthetics. For the patient living in</w:t>
      </w:r>
      <w:r>
        <w:t xml:space="preserve"> </w:t>
      </w:r>
      <w:r>
        <w:rPr>
          <w:iCs/>
          <w:i/>
          <w:bCs/>
          <w:b/>
        </w:rPr>
        <w:t xml:space="preserve">Spain Valencia</w:t>
      </w:r>
      <w:r>
        <w:t xml:space="preserve">, this outcome was not merely about straight teeth; it represented a boost in self-esteem that positively impacted his social interactions at school.</w:t>
      </w:r>
    </w:p>
    <w:p>
      <w:pPr>
        <w:pStyle w:val="BodyText"/>
      </w:pPr>
      <w:r>
        <w:t xml:space="preserve">To maintain these results, we prescribed a combination of removable clear retainers for nighttime wear and a fixed lingual retainer bonded to the lower anterior teeth. This retention protocol is standard practice for any</w:t>
      </w:r>
      <w:r>
        <w:t xml:space="preserve"> </w:t>
      </w:r>
      <w:r>
        <w:rPr>
          <w:iCs/>
          <w:i/>
          <w:bCs/>
          <w:b/>
        </w:rPr>
        <w:t xml:space="preserve">Orthodontist</w:t>
      </w:r>
      <w:r>
        <w:t xml:space="preserve"> </w:t>
      </w:r>
      <w:r>
        <w:t xml:space="preserve">aiming for long-term stability. The patient was enrolled in our recall system, scheduled for check-ups every six months to monitor periodontal health and appliance integrity.</w:t>
      </w:r>
    </w:p>
    <w:bookmarkEnd w:id="24"/>
    <w:bookmarkStart w:id="25" w:name="discussion-and-conclusion"/>
    <w:p>
      <w:pPr>
        <w:pStyle w:val="Heading2"/>
      </w:pPr>
      <w:r>
        <w:t xml:space="preserve">Discussion and Conclusion</w:t>
      </w:r>
    </w:p>
    <w:p>
      <w:pPr>
        <w:pStyle w:val="FirstParagraph"/>
      </w:pPr>
      <w:r>
        <w:t xml:space="preserve">This case study underscores the importance of individualized treatment planning tailored to the specific anatomical and lifestyle needs of patients in</w:t>
      </w:r>
      <w:r>
        <w:t xml:space="preserve"> </w:t>
      </w:r>
      <w:r>
        <w:rPr>
          <w:iCs/>
          <w:i/>
          <w:bCs/>
          <w:b/>
        </w:rPr>
        <w:t xml:space="preserve">Spain Valencia</w:t>
      </w:r>
      <w:r>
        <w:t xml:space="preserve">. The integration of digital diagnostics, hybrid bracket systems, and rigorous hygiene education contributed to a successful clinical outcome.</w:t>
      </w:r>
    </w:p>
    <w:p>
      <w:pPr>
        <w:pStyle w:val="BodyText"/>
      </w:pPr>
      <w:r>
        <w:t xml:space="preserve">The role of a skilled</w:t>
      </w:r>
      <w:r>
        <w:t xml:space="preserve"> </w:t>
      </w:r>
      <w:r>
        <w:rPr>
          <w:iCs/>
          <w:i/>
          <w:bCs/>
          <w:b/>
        </w:rPr>
        <w:t xml:space="preserve">Orthodontist</w:t>
      </w:r>
      <w:r>
        <w:t xml:space="preserve"> </w:t>
      </w:r>
      <w:r>
        <w:t xml:space="preserve">extends beyond mechanical alignment; it involves holistic patient management. In the dynamic environment of</w:t>
      </w:r>
      <w:r>
        <w:t xml:space="preserve"> </w:t>
      </w:r>
      <w:r>
        <w:rPr>
          <w:iCs/>
          <w:i/>
          <w:bCs/>
          <w:b/>
        </w:rPr>
        <w:t xml:space="preserve">Spain Valencia</w:t>
      </w:r>
      <w:r>
        <w:t xml:space="preserve">, where healthcare standards are high and patient expectations are sophisticated, delivering such successful outcomes requires both technical expertise and empathetic communication.</w:t>
      </w:r>
    </w:p>
    <w:p>
      <w:pPr>
        <w:pStyle w:val="BodyText"/>
      </w:pPr>
      <w:r>
        <w:t xml:space="preserve">In conclusion, this case illustrates that with appropriate technology and a comprehensive treatment strategy, complex orthodontic problems can be resolved efficiently. The patient in</w:t>
      </w:r>
      <w:r>
        <w:t xml:space="preserve"> </w:t>
      </w:r>
      <w:r>
        <w:rPr>
          <w:iCs/>
          <w:i/>
          <w:bCs/>
          <w:b/>
        </w:rPr>
        <w:t xml:space="preserve">Spain Valencia</w:t>
      </w:r>
      <w:r>
        <w:t xml:space="preserve"> </w:t>
      </w:r>
      <w:r>
        <w:t xml:space="preserve">now enjoys a healthy, functional, and aesthetically pleasing smile. This success story serves as a testament to the advancements in orthodontic care available in the region, highlighting how local clinics can deliver world-class results that enhance the quality of life for their patients.</w:t>
      </w:r>
    </w:p>
    <w:p>
      <w:pPr>
        <w:pStyle w:val="BodyText"/>
      </w:pPr>
      <w:r>
        <w:t xml:space="preserve">We recommend that prospective patients considering similar treatments in</w:t>
      </w:r>
      <w:r>
        <w:t xml:space="preserve"> </w:t>
      </w:r>
      <w:r>
        <w:rPr>
          <w:iCs/>
          <w:i/>
          <w:bCs/>
          <w:b/>
        </w:rPr>
        <w:t xml:space="preserve">Spain Valencia</w:t>
      </w:r>
      <w:r>
        <w:t xml:space="preserve"> </w:t>
      </w:r>
      <w:r>
        <w:t xml:space="preserve">seek consultations with certified professionals who utilize current digital workflows. The synergy between advanced orthodontic science and personalized patient care remains the cornerstone of successful long-term dental health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2026-07-29T14:16:01Z</dcterms:created>
  <dcterms:modified xsi:type="dcterms:W3CDTF">2026-07-29T14:16:01Z</dcterms:modified>
</cp:coreProperties>
</file>

<file path=docProps/custom.xml><?xml version="1.0" encoding="utf-8"?>
<Properties xmlns="http://schemas.openxmlformats.org/officeDocument/2006/custom-properties" xmlns:vt="http://schemas.openxmlformats.org/officeDocument/2006/docPropsVTypes"/>
</file>