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Orthodontic</w:t>
      </w:r>
      <w:r>
        <w:t xml:space="preserve"> </w:t>
      </w:r>
      <w:r>
        <w:t xml:space="preserve">Solutions</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X6391340bec925a4d6a8539fba9dc3ecaf31794c"/>
    <w:p>
      <w:pPr>
        <w:pStyle w:val="Heading1"/>
      </w:pPr>
      <w:r>
        <w:t xml:space="preserve">Case Study: Transforming Smiles Through Specialized Orthodontic Care in United Kingdom London</w:t>
      </w:r>
    </w:p>
    <w:p>
      <w:pPr>
        <w:pStyle w:val="FirstParagraph"/>
      </w:pPr>
      <w:r>
        <w:rPr>
          <w:bCs/>
          <w:b/>
        </w:rPr>
        <w:t xml:space="preserve">Date:</w:t>
      </w:r>
      <w:r>
        <w:t xml:space="preserve"> </w:t>
      </w:r>
      <w:r>
        <w:t xml:space="preserve">October 2023</w:t>
      </w:r>
      <w:r>
        <w:br/>
      </w:r>
      <w:r>
        <w:rPr>
          <w:bCs/>
          <w:b/>
        </w:rPr>
        <w:t xml:space="preserve">Patient Profile:</w:t>
      </w:r>
      <w:r>
        <w:t xml:space="preserve"> </w:t>
      </w:r>
      <w:r>
        <w:t xml:space="preserve">Adult Male, Age 28</w:t>
      </w:r>
      <w:r>
        <w:br/>
      </w:r>
      <w:r>
        <w:rPr>
          <w:bCs/>
          <w:b/>
        </w:rPr>
        <w:t xml:space="preserve">Location of Treatment:</w:t>
      </w:r>
      <w:r>
        <w:t xml:space="preserve"> </w:t>
      </w:r>
      <w:r>
        <w:t xml:space="preserve">Central United Kingdom London</w:t>
      </w:r>
    </w:p>
    <w:bookmarkStart w:id="20" w:name="absolute-executive-summary"/>
    <w:p>
      <w:pPr>
        <w:pStyle w:val="Heading2"/>
      </w:pPr>
      <w:r>
        <w:t xml:space="preserve">Absolute Executive Summary</w:t>
      </w:r>
    </w:p>
    <w:p>
      <w:pPr>
        <w:pStyle w:val="FirstParagraph"/>
      </w:pPr>
      <w:r>
        <w:t xml:space="preserve">This comprehensive Case Study details the successful orthodontic treatment journey of a professional residing in the heart of United Kingdom London. The patient presented with complex malocclusion issues that had persisted since adolescence, resulting not only in dental misalignment but also in significant functional discomfort and self-esteem challenges. By leveraging state-of-the-art digital scanning technology, clear aligner therapy, and a multidisciplinary approach tailored specifically for the high-demand environment of United Kingdom London, the patient achieved a fully corrected occlusion within eighteen months.</w:t>
      </w:r>
    </w:p>
    <w:p>
      <w:pPr>
        <w:pStyle w:val="BodyText"/>
      </w:pPr>
      <w:r>
        <w:t xml:space="preserve">The primary objective of this Case Study is to illustrate how modern</w:t>
      </w:r>
      <w:r>
        <w:t xml:space="preserve"> </w:t>
      </w:r>
      <w:r>
        <w:rPr>
          <w:bCs/>
          <w:b/>
        </w:rPr>
        <w:t xml:space="preserve">Orthodontist</w:t>
      </w:r>
      <w:r>
        <w:t xml:space="preserve"> </w:t>
      </w:r>
      <w:r>
        <w:t xml:space="preserve">practices in densely populated metropolitan areas like United Kingdom London can balance aesthetic perfection with functional health. The results demonstrate that even complex adult cases can be resolved efficiently, highlighting the evolution of orthodontic care in one of the world’s most competitive healthcare markets.</w:t>
      </w:r>
    </w:p>
    <w:bookmarkEnd w:id="20"/>
    <w:bookmarkStart w:id="22" w:name="X5af47da928e9419a05496df16991fef1c2b14f8"/>
    <w:p>
      <w:pPr>
        <w:pStyle w:val="Heading2"/>
      </w:pPr>
      <w:r>
        <w:t xml:space="preserve">Patient Background and Clinical Presentation</w:t>
      </w:r>
    </w:p>
    <w:p>
      <w:pPr>
        <w:pStyle w:val="FirstParagraph"/>
      </w:pPr>
      <w:r>
        <w:t xml:space="preserve">The patient, a 28-year-old marketing executive based in United Kingdom London, sought consultation due to severe crowding of the anterior teeth and a deep bite that caused gingival trauma on the lower incisors. Despite previous minor interventions during his teenage years, he remained dissatisfied with his smile’s appearance and experienced occasional jaw stiffness. Living in United Kingdom London, where professional image is often closely tied to career progression, the psychological impact of his dental condition was profound.</w:t>
      </w:r>
    </w:p>
    <w:bookmarkStart w:id="21" w:name="clinical-findings"/>
    <w:p>
      <w:pPr>
        <w:pStyle w:val="Heading3"/>
      </w:pPr>
      <w:r>
        <w:t xml:space="preserve">Clinical Findings</w:t>
      </w:r>
    </w:p>
    <w:p>
      <w:pPr>
        <w:numPr>
          <w:ilvl w:val="0"/>
          <w:numId w:val="1001"/>
        </w:numPr>
        <w:pStyle w:val="Compact"/>
      </w:pPr>
      <w:r>
        <w:rPr>
          <w:bCs/>
          <w:b/>
        </w:rPr>
        <w:t xml:space="preserve">Crowding Index:</w:t>
      </w:r>
      <w:r>
        <w:t xml:space="preserve"> </w:t>
      </w:r>
      <w:r>
        <w:t xml:space="preserve">Significant crowding (8mm) in both arches.</w:t>
      </w:r>
    </w:p>
    <w:p>
      <w:pPr>
        <w:numPr>
          <w:ilvl w:val="0"/>
          <w:numId w:val="1001"/>
        </w:numPr>
        <w:pStyle w:val="Compact"/>
      </w:pPr>
      <w:r>
        <w:rPr>
          <w:bCs/>
          <w:b/>
        </w:rPr>
        <w:t xml:space="preserve">Occlusion:</w:t>
      </w:r>
      <w:r>
        <w:t xml:space="preserve"> </w:t>
      </w:r>
      <w:r>
        <w:t xml:space="preserve">Class II, Division 1 malocclusion with a deep overbite.</w:t>
      </w:r>
    </w:p>
    <w:p>
      <w:pPr>
        <w:numPr>
          <w:ilvl w:val="0"/>
          <w:numId w:val="1001"/>
        </w:numPr>
        <w:pStyle w:val="Compact"/>
      </w:pPr>
      <w:r>
        <w:rPr>
          <w:bCs/>
          <w:b/>
        </w:rPr>
        <w:t xml:space="preserve">Gum Health:</w:t>
      </w:r>
      <w:r>
        <w:t xml:space="preserve"> </w:t>
      </w:r>
      <w:r>
        <w:t xml:space="preserve">Mild recession on lower front teeth due to trauma from the upper incisors.</w:t>
      </w:r>
    </w:p>
    <w:p>
      <w:pPr>
        <w:numPr>
          <w:ilvl w:val="0"/>
          <w:numId w:val="1001"/>
        </w:numPr>
        <w:pStyle w:val="Compact"/>
      </w:pPr>
      <w:r>
        <w:rPr>
          <w:bCs/>
          <w:b/>
        </w:rPr>
        <w:t xml:space="preserve">Jaw Function:</w:t>
      </w:r>
      <w:r>
        <w:t xml:space="preserve"> </w:t>
      </w:r>
      <w:r>
        <w:t xml:space="preserve">Mild temporomandibular joint (TMJ) discomfort reported during prolonged chewing or stress.</w:t>
      </w:r>
    </w:p>
    <w:bookmarkEnd w:id="21"/>
    <w:bookmarkEnd w:id="22"/>
    <w:bookmarkStart w:id="24" w:name="the-treatment-plan-a-holistic-approach"/>
    <w:p>
      <w:pPr>
        <w:pStyle w:val="Heading2"/>
      </w:pPr>
      <w:r>
        <w:t xml:space="preserve">The Treatment Plan: A Holistic Approach</w:t>
      </w:r>
    </w:p>
    <w:p>
      <w:pPr>
        <w:pStyle w:val="FirstParagraph"/>
      </w:pPr>
      <w:r>
        <w:t xml:space="preserve">The consultation with the specialist</w:t>
      </w:r>
      <w:r>
        <w:t xml:space="preserve"> </w:t>
      </w:r>
      <w:r>
        <w:rPr>
          <w:bCs/>
          <w:b/>
        </w:rPr>
        <w:t xml:space="preserve">Orthodontist</w:t>
      </w:r>
    </w:p>
    <w:p>
      <w:pPr>
        <w:numPr>
          <w:ilvl w:val="0"/>
          <w:numId w:val="1002"/>
        </w:numPr>
        <w:pStyle w:val="Compact"/>
      </w:pPr>
      <w:r>
        <w:rPr>
          <w:bCs/>
          <w:b/>
        </w:rPr>
        <w:t xml:space="preserve">Aesthetics:</w:t>
      </w:r>
      <w:r>
        <w:t xml:space="preserve"> </w:t>
      </w:r>
      <w:r>
        <w:t xml:space="preserve">Nearly invisible correction aligned with professional expectations.</w:t>
      </w:r>
    </w:p>
    <w:p>
      <w:pPr>
        <w:numPr>
          <w:ilvl w:val="0"/>
          <w:numId w:val="1002"/>
        </w:numPr>
        <w:pStyle w:val="Compact"/>
      </w:pPr>
      <w:r>
        <w:rPr>
          <w:bCs/>
          <w:b/>
        </w:rPr>
        <w:t xml:space="preserve">Mobility:</w:t>
      </w:r>
      <w:r>
        <w:t xml:space="preserve"> </w:t>
      </w:r>
      <w:r>
        <w:t xml:space="preserve">The patient’s busy schedule in United Kingdom London, involving frequent travel and client meetings, required a treatment method that did not restrict social interactions or oral hygiene routines.</w:t>
      </w:r>
    </w:p>
    <w:p>
      <w:pPr>
        <w:numPr>
          <w:ilvl w:val="0"/>
          <w:numId w:val="1002"/>
        </w:numPr>
        <w:pStyle w:val="Compact"/>
      </w:pPr>
      <w:r>
        <w:rPr>
          <w:bCs/>
          <w:b/>
        </w:rPr>
        <w:t xml:space="preserve">Precision:</w:t>
      </w:r>
      <w:r>
        <w:t xml:space="preserve"> </w:t>
      </w:r>
      <w:r>
        <w:t xml:space="preserve">Digital imaging allowed for precise prediction of tooth movement, reducing the need for frequent adjustments and saving time.</w:t>
      </w:r>
    </w:p>
    <w:bookmarkStart w:id="23" w:name="treatment-modalities"/>
    <w:p>
      <w:pPr>
        <w:pStyle w:val="Heading3"/>
      </w:pPr>
      <w:r>
        <w:t xml:space="preserve">Treatment Modalities</w:t>
      </w:r>
    </w:p>
    <w:p>
      <w:pPr>
        <w:pStyle w:val="FirstParagraph"/>
      </w:pPr>
      <w:r>
        <w:t xml:space="preserve">The chosen protocol included 24 sets of clear aligners, supplemented by interproximal reduction (IPR) to resolve crowding without extractions. Additionally, minor composite build-ups were planned post-treatment to refine the anterior guidance and ensure long-term functional stability.</w:t>
      </w:r>
    </w:p>
    <w:bookmarkEnd w:id="23"/>
    <w:bookmarkEnd w:id="24"/>
    <w:bookmarkStart w:id="25" w:name="execution-and-process"/>
    <w:p>
      <w:pPr>
        <w:pStyle w:val="Heading2"/>
      </w:pPr>
      <w:r>
        <w:t xml:space="preserve">Execution and Process</w:t>
      </w:r>
    </w:p>
    <w:p>
      <w:pPr>
        <w:pStyle w:val="FirstParagraph"/>
      </w:pPr>
      <w:r>
        <w:t xml:space="preserve">The treatment began with a comprehensive intraoral scan, eliminating the discomfort of traditional impressions. This digital impression was sent to a specialized laboratory, where the biomechanics of tooth movement were simulated. The unique challenge in this Case Study was managing the patient’s high stress levels; orthodontic treatment can sometimes exacerbate TMJ issues if not monitored closely.</w:t>
      </w:r>
    </w:p>
    <w:p>
      <w:pPr>
        <w:pStyle w:val="BodyText"/>
      </w:pPr>
      <w:r>
        <w:t xml:space="preserve">Throughout the 18-month duration, monthly check-ups were conducted at the practice located in United Kingdom London. These visits served a dual purpose: verifying aligner fit and monitoring joint health. The</w:t>
      </w:r>
      <w:r>
        <w:t xml:space="preserve"> </w:t>
      </w:r>
      <w:r>
        <w:rPr>
          <w:bCs/>
          <w:b/>
        </w:rPr>
        <w:t xml:space="preserve">Orthodontist</w:t>
      </w:r>
      <w:r>
        <w:t xml:space="preserve"> </w:t>
      </w:r>
      <w:r>
        <w:t xml:space="preserve">employed a "stop-and-go" protocol when necessary, pausing active movement to allow soft tissues to heal if recession signs appeared, demonstrating the adaptive nature of modern care.</w:t>
      </w:r>
    </w:p>
    <w:bookmarkEnd w:id="25"/>
    <w:bookmarkStart w:id="26" w:name="Xe6e645dd5c5179a19fc414b4de4d81d2da725f7"/>
    <w:p>
      <w:pPr>
        <w:pStyle w:val="Heading2"/>
      </w:pPr>
      <w:r>
        <w:t xml:space="preserve">Challenges Encountered in United Kingdom London</w:t>
      </w:r>
    </w:p>
    <w:p>
      <w:pPr>
        <w:pStyle w:val="FirstParagraph"/>
      </w:pPr>
      <w:r>
        <w:t xml:space="preserve">Treating patients in United Kingdom London presents unique logistical and clinical challenges. The Case Study highlights three primary hurdles:</w:t>
      </w:r>
    </w:p>
    <w:p>
      <w:pPr>
        <w:numPr>
          <w:ilvl w:val="0"/>
          <w:numId w:val="1003"/>
        </w:numPr>
        <w:pStyle w:val="Compact"/>
      </w:pPr>
      <w:r>
        <w:rPr>
          <w:bCs/>
          <w:b/>
        </w:rPr>
        <w:t xml:space="preserve">Patient Compliance:</w:t>
      </w:r>
    </w:p>
    <w:p>
      <w:pPr>
        <w:numPr>
          <w:ilvl w:val="0"/>
          <w:numId w:val="1003"/>
        </w:numPr>
        <w:pStyle w:val="Compact"/>
      </w:pPr>
      <w:r>
        <w:rPr>
          <w:bCs/>
          <w:b/>
        </w:rPr>
        <w:t xml:space="preserve">Scheduling Conflicts:</w:t>
      </w:r>
      <w:r>
        <w:t xml:space="preserve"> </w:t>
      </w:r>
      <w:r>
        <w:t xml:space="preserve">Frequent business trips required flexible appointment scheduling. The practice utilized tele-dentistry tools for quick visual checks, reducing unnecessary visits while maintaining oversight.</w:t>
      </w:r>
    </w:p>
    <w:p>
      <w:pPr>
        <w:numPr>
          <w:ilvl w:val="0"/>
          <w:numId w:val="1003"/>
        </w:numPr>
        <w:pStyle w:val="Compact"/>
      </w:pPr>
      <w:r>
        <w:t xml:space="preserve">Aesthetic Demands:</w:t>
      </w:r>
    </w:p>
    <w:bookmarkEnd w:id="26"/>
    <w:bookmarkStart w:id="28" w:name="outcomes-and-results"/>
    <w:p>
      <w:pPr>
        <w:pStyle w:val="Heading2"/>
      </w:pPr>
      <w:r>
        <w:t xml:space="preserve">Outcomes and Results</w:t>
      </w:r>
    </w:p>
    <w:p>
      <w:pPr>
        <w:pStyle w:val="FirstParagraph"/>
      </w:pPr>
      <w:r>
        <w:t xml:space="preserve">The final results exceeded expectations. Clinically, the crowding was completely resolved, and the overbite was normalized to a healthy 2mm overlap. The gingival trauma ceased immediately once the upper incisors were retracted.</w:t>
      </w:r>
    </w:p>
    <w:bookmarkStart w:id="27" w:name="clinical-metrics-at-completion"/>
    <w:p>
      <w:pPr>
        <w:pStyle w:val="Heading3"/>
      </w:pPr>
      <w:r>
        <w:t xml:space="preserve">Clinical Metrics at Completion:</w:t>
      </w:r>
    </w:p>
    <w:p>
      <w:pPr>
        <w:numPr>
          <w:ilvl w:val="0"/>
          <w:numId w:val="1004"/>
        </w:numPr>
        <w:pStyle w:val="Compact"/>
      </w:pPr>
      <w:r>
        <w:rPr>
          <w:bCs/>
          <w:b/>
        </w:rPr>
        <w:t xml:space="preserve">Crowding Index:</w:t>
      </w:r>
      <w:r>
        <w:t xml:space="preserve"> </w:t>
      </w:r>
      <w:r>
        <w:t xml:space="preserve">Reduced from 8mm to 0mm (perfect alignment).</w:t>
      </w:r>
    </w:p>
    <w:p>
      <w:pPr>
        <w:numPr>
          <w:ilvl w:val="0"/>
          <w:numId w:val="1004"/>
        </w:numPr>
        <w:pStyle w:val="Compact"/>
      </w:pPr>
      <w:r>
        <w:rPr>
          <w:bCs/>
          <w:b/>
        </w:rPr>
        <w:t xml:space="preserve">Occlusion:</w:t>
      </w:r>
    </w:p>
    <w:p>
      <w:pPr>
        <w:numPr>
          <w:ilvl w:val="0"/>
          <w:numId w:val="1000"/>
        </w:numPr>
        <w:pStyle w:val="Compact"/>
      </w:pPr>
      <w:r>
        <w:t xml:space="preserve">Class I molar relationship achieved with ideal overjet and overbite.</w:t>
      </w:r>
    </w:p>
    <w:p>
      <w:pPr>
        <w:numPr>
          <w:ilvl w:val="0"/>
          <w:numId w:val="1004"/>
        </w:numPr>
        <w:pStyle w:val="Compact"/>
      </w:pPr>
      <w:r>
        <w:rPr>
          <w:bCs/>
          <w:b/>
        </w:rPr>
        <w:t xml:space="preserve">TMJ Status:</w:t>
      </w:r>
      <w:r>
        <w:t xml:space="preserve">No reported pain or clicking; joint function normalized.</w:t>
      </w:r>
    </w:p>
    <w:p>
      <w:pPr>
        <w:pStyle w:val="FirstParagraph"/>
      </w:pPr>
      <w:r>
        <w:t xml:space="preserve">Patient satisfaction surveys indicated a 100% satisfaction rate. The patient reported a significant boost in confidence, noting that his new smile positively influenced his professional interactions. He specifically appreciated the discretion of the treatment, which allowed him to navigate the social and business landscapes of United Kingdom London without interruption.</w:t>
      </w:r>
    </w:p>
    <w:bookmarkEnd w:id="27"/>
    <w:bookmarkEnd w:id="28"/>
    <w:bookmarkStart w:id="29" w:name="X09a02b3b0ea719f41b272200925bd8b13d75086"/>
    <w:p>
      <w:pPr>
        <w:pStyle w:val="Heading2"/>
      </w:pPr>
      <w:r>
        <w:t xml:space="preserve">Discussion: The Role of Technology and Location</w:t>
      </w:r>
    </w:p>
    <w:p>
      <w:pPr>
        <w:pStyle w:val="FirstParagraph"/>
      </w:pPr>
      <w:r>
        <w:t xml:space="preserve">This Case Study underscores how an advanced</w:t>
      </w:r>
      <w:r>
        <w:t xml:space="preserve"> </w:t>
      </w:r>
      <w:r>
        <w:rPr>
          <w:bCs/>
          <w:b/>
        </w:rPr>
        <w:t xml:space="preserve">Orthodontist</w:t>
      </w:r>
    </w:p>
    <w:p>
      <w:pPr>
        <w:pStyle w:val="BodyText"/>
      </w:pPr>
      <w:r>
        <w:t xml:space="preserve">Furthermore, the location plays a pivotal role. In United Kingdom London, there is a high concentration of specialists with diverse expertise. This allows for collaborative care models where orthodontists can easily consult with periodontists or prosthodontists if complex gum or restorative issues arise. The competitive nature of the market in United Kingdom London drives continuous innovation, ensuring that patients receive cutting-edge care.</w:t>
      </w:r>
    </w:p>
    <w:bookmarkEnd w:id="29"/>
    <w:bookmarkStart w:id="30" w:name="conclusion"/>
    <w:p>
      <w:pPr>
        <w:pStyle w:val="Heading2"/>
      </w:pPr>
      <w:r>
        <w:t xml:space="preserve">Conclusion</w:t>
      </w:r>
    </w:p>
    <w:p>
      <w:pPr>
        <w:pStyle w:val="FirstParagraph"/>
      </w:pPr>
      <w:r>
        <w:t xml:space="preserve">The successful treatment of this adult patient exemplifies the capabilities of contemporary orthodontics. By combining precise digital planning with a patient-centered approach, the</w:t>
      </w:r>
      <w:r>
        <w:t xml:space="preserve"> </w:t>
      </w:r>
      <w:r>
        <w:rPr>
          <w:bCs/>
          <w:b/>
        </w:rPr>
        <w:t xml:space="preserve">Orthodontist</w:t>
      </w:r>
    </w:p>
    <w:p>
      <w:pPr>
        <w:pStyle w:val="BodyText"/>
      </w:pPr>
      <w:r>
        <w:t xml:space="preserve">This Case Study serves as a testament to the fact that with the right technology and expert care, age and location are no longer barriers to achieving an optimal smile. For individuals seeking similar outcomes in United Kingdom London, this document highlights the importance of choosing a specialist who understands both the clinical complexities of orthodontics and the unique lifestyle demands of urban living.</w:t>
      </w:r>
    </w:p>
    <w:p>
      <w:pPr>
        <w:pStyle w:val="BodyText"/>
      </w:pPr>
      <w:r>
        <w:rPr>
          <w:iCs/>
          <w:i/>
        </w:rPr>
        <w:t xml:space="preserve">Disclaimer: This Case Study is for educational purposes only. Individual results may vary based on specific clinical conditions. Please consult with a qualified Orthodontist for personalized advice.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Orthodontic Solutions in United Kingdom London</dc:title>
  <dc:creator/>
  <dc:language>en</dc:language>
  <cp:keywords/>
  <dcterms:created xsi:type="dcterms:W3CDTF">2026-07-29T16:09:49Z</dcterms:created>
  <dcterms:modified xsi:type="dcterms:W3CDTF">2026-07-29T16:09:49Z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