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Smiles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b6e2d62a7ed9c2ded23326ee1b2737781b668ad"/>
    <w:p>
      <w:pPr>
        <w:pStyle w:val="Heading1"/>
      </w:pPr>
      <w:r>
        <w:t xml:space="preserve">Case Study: Advanced Orthodontist Interventions in the United Kingdom Manchester Metropolitan Context</w:t>
      </w:r>
    </w:p>
    <w:p>
      <w:pPr>
        <w:pStyle w:val="FirstParagraph"/>
      </w:pPr>
      <w:r>
        <w:rPr>
          <w:bCs/>
          <w:b/>
        </w:rPr>
        <w:t xml:space="preserve">Date:</w:t>
      </w:r>
      <w:r>
        <w:t xml:space="preserve"> </w:t>
      </w:r>
      <w:r>
        <w:t xml:space="preserve">October 24, 2023</w:t>
      </w:r>
      <w:r>
        <w:br/>
      </w:r>
      <w:r>
        <w:rPr>
          <w:iCs/>
          <w:i/>
          <w:bCs/>
          <w:b/>
        </w:rPr>
        <w:t xml:space="preserve">Status:</w:t>
      </w:r>
      <w:r>
        <w:t xml:space="preserve"> Published Case Review</w:t>
      </w:r>
      <w:r>
        <w:br/>
      </w:r>
    </w:p>
    <w:p>
      <w:pPr>
        <w:pStyle w:val="BodyText"/>
      </w:pPr>
      <w:r>
        <w:rPr>
          <w:iCs/>
          <w:i/>
        </w:rPr>
        <w:t xml:space="preserve">Focus Area:</w:t>
      </w:r>
      <w:r>
        <w:t xml:space="preserve"> Clinical Excellence and Community Health Integration in the United Kingdom Manchester Region</w:t>
      </w:r>
    </w:p>
    <w:bookmarkStart w:id="20" w:name="executive-summary"/>
    <w:p>
      <w:pPr>
        <w:pStyle w:val="Heading3"/>
      </w:pPr>
      <w:r>
        <w:t xml:space="preserve">Executive Summary</w:t>
      </w:r>
    </w:p>
    <w:p>
      <w:pPr>
        <w:pStyle w:val="FirstParagraph"/>
      </w:pPr>
      <w:r>
        <w:t xml:space="preserve">This comprehensive case study examines the multifaceted role of a specialized Orthodontist within the bustling urban environment of United Kingdom Manchester. By analyzing patient demographics, clinical challenges, treatment modalities, and community impact, we aim to demonstrate how high-quality dental care contributes significantly to public health outcomes in one of Europe’s most vibrant cities. The intersection of modern orthodontic technology and local healthcare infrastructure offers a unique blueprint for improving quality of life across diverse populations.</w:t>
      </w:r>
    </w:p>
    <w:bookmarkEnd w:id="20"/>
    <w:bookmarkStart w:id="21" w:name="X539a3b2babd48c592d8a46198b2105e1eaa96a3"/>
    <w:p>
      <w:pPr>
        <w:pStyle w:val="Heading2"/>
      </w:pPr>
      <w:r>
        <w:t xml:space="preserve">1. Introduction: The Landscape of Dental Care in United Kingdom Manchester</w:t>
      </w:r>
    </w:p>
    <w:p>
      <w:pPr>
        <w:pStyle w:val="FirstParagraph"/>
      </w:pPr>
      <w:r>
        <w:t xml:space="preserve">The city of Manchester, located in the North West region of the United Kingdom, is renowned not only for its rich industrial heritage and cultural vibrancy but also for its diverse demographic makeup. This diversity presents unique challenges and opportunities for healthcare providers, particularly specialists such as an Orthodontist. In recent years, there has been a noticeable surge in demand for orthodontic services in Manchester, driven by increased awareness of oral health aesthetics and functional benefits.</w:t>
      </w:r>
    </w:p>
    <w:p>
      <w:pPr>
        <w:pStyle w:val="BodyText"/>
      </w:pPr>
      <w:r>
        <w:t xml:space="preserve">Within the United Kingdom’s National Health Service (NHS) framework and the private healthcare sector alike, the role of an Orthodontist has evolved. It is no longer solely about straightening teeth; it is about holistic craniofacial development, addressing sleep apnea issues related to jaw alignment, and improving psychological well-being through enhanced self-esteem. This case study focuses on a representative clinical practice in Manchester that exemplifies these modern standards of care.</w:t>
      </w:r>
    </w:p>
    <w:bookmarkEnd w:id="21"/>
    <w:bookmarkStart w:id="22" w:name="Xab8d578471307a61e8679c92cbe3a692b67d329"/>
    <w:p>
      <w:pPr>
        <w:pStyle w:val="Heading2"/>
      </w:pPr>
      <w:r>
        <w:t xml:space="preserve">2. Patient Profile and Clinical Presentation</w:t>
      </w:r>
    </w:p>
    <w:p>
      <w:pPr>
        <w:pStyle w:val="FirstParagraph"/>
      </w:pPr>
      <w:r>
        <w:t xml:space="preserve">To illustrate the scope of work undertaken by an Orthodontist in this region, we examine the case of "Patient A," a 14-year-old male student from a predominantly working-class neighborhood in Greater Manchester. Patient A presented with severe malocclusion, specifically Class II division 1 malalignment, characterized by significant overjet and crowding of the anterior teeth.</w:t>
      </w:r>
    </w:p>
    <w:p>
      <w:pPr>
        <w:pStyle w:val="BodyText"/>
      </w:pPr>
      <w:r>
        <w:rPr>
          <w:bCs/>
          <w:b/>
        </w:rPr>
        <w:t xml:space="preserve">Key Clinical Features:</w:t>
      </w:r>
    </w:p>
    <w:p>
      <w:pPr>
        <w:numPr>
          <w:ilvl w:val="0"/>
          <w:numId w:val="1001"/>
        </w:numPr>
        <w:pStyle w:val="Compact"/>
      </w:pPr>
      <w:r>
        <w:rPr>
          <w:bCs/>
          <w:b/>
        </w:rPr>
        <w:t xml:space="preserve">Skeletal Discrepancy:</w:t>
      </w:r>
      <w:r>
        <w:t xml:space="preserve"> Mild to moderate mandibular retrognathism.</w:t>
      </w:r>
    </w:p>
    <w:p>
      <w:pPr>
        <w:numPr>
          <w:ilvl w:val="0"/>
          <w:numId w:val="1001"/>
        </w:numPr>
        <w:pStyle w:val="Compact"/>
      </w:pPr>
      <w:r>
        <w:t xml:space="preserve">Functional Issues</w:t>
      </w:r>
      <w:r>
        <w:t xml:space="preserve">: Difficulty in chewing and speech articulation problems due to the overjet.</w:t>
      </w:r>
    </w:p>
    <w:p>
      <w:pPr>
        <w:numPr>
          <w:ilvl w:val="0"/>
          <w:numId w:val="1001"/>
        </w:numPr>
        <w:pStyle w:val="Compact"/>
      </w:pPr>
      <w:r>
        <w:rPr>
          <w:bCs/>
          <w:b/>
        </w:rPr>
        <w:t xml:space="preserve">Psychosocial Impact:</w:t>
      </w:r>
      <w:r>
        <w:t xml:space="preserve"> Patient reported significant bullying at school related to his smile, leading to social withdrawal and decreased academic confidence.</w:t>
      </w:r>
    </w:p>
    <w:p>
      <w:pPr>
        <w:pStyle w:val="FirstParagraph"/>
      </w:pPr>
      <w:r>
        <w:t xml:space="preserve">This profile is not uncommon in United Kingdom Manchester. Studies suggest that socio-economic disparities can influence access to early orthodontic intervention. However, through a combination of NHS eligibility criteria and private options explored by the family, the patient was able to receive timely care from a dedicated Orthodontist.</w:t>
      </w:r>
    </w:p>
    <w:bookmarkEnd w:id="22"/>
    <w:bookmarkStart w:id="26" w:name="X7976d6797549a91d3e7661002ca56240c982aea"/>
    <w:p>
      <w:pPr>
        <w:pStyle w:val="Heading2"/>
      </w:pPr>
      <w:r>
        <w:t xml:space="preserve">3. Treatment Methodology and Technological Integration</w:t>
      </w:r>
    </w:p>
    <w:p>
      <w:pPr>
        <w:pStyle w:val="FirstParagraph"/>
      </w:pPr>
      <w:r>
        <w:t xml:space="preserve">The management of Patient A’s condition required a precise treatment plan formulated by an experienced Orthodontist familiar with both traditional mechanics and digital innovation. The treatment phase in Manchester followed a structured approach:</w:t>
      </w:r>
    </w:p>
    <w:bookmarkStart w:id="23" w:name="phase-1-diagnostic-precision"/>
    <w:p>
      <w:pPr>
        <w:pStyle w:val="Heading3"/>
      </w:pPr>
      <w:r>
        <w:rPr>
          <w:bCs/>
          <w:b/>
        </w:rPr>
        <w:t xml:space="preserve">Phase 1: Diagnostic Precision</w:t>
      </w:r>
    </w:p>
    <w:p>
      <w:pPr>
        <w:pStyle w:val="FirstParagraph"/>
      </w:pPr>
      <w:r>
        <w:t xml:space="preserve">The initial consultation involved comprehensive records, including intraoral photographs, lateral cephalometric radiographs, and digital impressions using intraoral scanners. This technology allows for greater accuracy in planning compared to traditional alginate impressions, reducing chair time and improving patient comfort—a crucial factor in engaging younger demographics common in Manchester schools.</w:t>
      </w:r>
    </w:p>
    <w:bookmarkEnd w:id="23"/>
    <w:bookmarkStart w:id="24" w:name="phase-2-active-correction"/>
    <w:p>
      <w:pPr>
        <w:pStyle w:val="Heading3"/>
      </w:pPr>
      <w:r>
        <w:rPr>
          <w:bCs/>
          <w:b/>
        </w:rPr>
        <w:t xml:space="preserve">Phase 2: Active Correction</w:t>
      </w:r>
    </w:p>
    <w:p>
      <w:pPr>
        <w:pStyle w:val="FirstParagraph"/>
      </w:pPr>
      <w:r>
        <w:t xml:space="preserve">The Orthodontist opted for self-ligating brackets combined with clear aligner therapy for the final detailing. This hybrid approach offered several advantages:</w:t>
      </w:r>
    </w:p>
    <w:p>
      <w:pPr>
        <w:numPr>
          <w:ilvl w:val="0"/>
          <w:numId w:val="1002"/>
        </w:numPr>
        <w:pStyle w:val="Compact"/>
      </w:pPr>
      <w:r>
        <w:rPr>
          <w:bCs/>
          <w:b/>
        </w:rPr>
        <w:t xml:space="preserve">Aesthetics:</w:t>
      </w:r>
      <w:r>
        <w:t xml:space="preserve"> Reduced visibility of braces helped alleviate Patient A’s social anxiety.</w:t>
      </w:r>
    </w:p>
    <w:p>
      <w:pPr>
        <w:numPr>
          <w:ilvl w:val="0"/>
          <w:numId w:val="1002"/>
        </w:numPr>
        <w:pStyle w:val="Compact"/>
      </w:pPr>
      <w:r>
        <w:rPr>
          <w:bCs/>
          <w:b/>
        </w:rPr>
        <w:t xml:space="preserve">Efficacy:</w:t>
      </w:r>
      <w:r>
        <w:t xml:space="preserve"> Self-ligating systems reduce friction, allowing for faster tooth movement.</w:t>
      </w:r>
    </w:p>
    <w:p>
      <w:pPr>
        <w:numPr>
          <w:ilvl w:val="0"/>
          <w:numId w:val="1002"/>
        </w:numPr>
        <w:pStyle w:val="Compact"/>
      </w:pPr>
      <w:r>
        <w:t xml:space="preserve">Hygiene</w:t>
      </w:r>
      <w:r>
        <w:t xml:space="preserve">: Easier cleaning protocols helped prevent decalcification lesions, a common risk among adolescents with poor oral hygiene habits.</w:t>
      </w:r>
    </w:p>
    <w:bookmarkEnd w:id="24"/>
    <w:bookmarkStart w:id="25" w:name="phase-3-retention-and-stability"/>
    <w:p>
      <w:pPr>
        <w:pStyle w:val="Heading3"/>
      </w:pPr>
      <w:r>
        <w:rPr>
          <w:bCs/>
          <w:b/>
        </w:rPr>
        <w:t xml:space="preserve">Phase 3: Retention and Stability</w:t>
      </w:r>
    </w:p>
    <w:p>
      <w:pPr>
        <w:pStyle w:val="FirstParagraph"/>
      </w:pPr>
      <w:r>
        <w:t xml:space="preserve">Post-treatment retention was critical. Fixed retainers were placed on the lower anterior teeth, and removable retainers were provided for night wear. This long-term strategy is standard practice for any reputable Orthodontist operating in the competitive United Kingdom Manchester market to ensure lasting results.</w:t>
      </w:r>
    </w:p>
    <w:bookmarkEnd w:id="25"/>
    <w:bookmarkEnd w:id="26"/>
    <w:bookmarkStart w:id="27" w:name="outcomes-and-impact-assessment"/>
    <w:p>
      <w:pPr>
        <w:pStyle w:val="Heading2"/>
      </w:pPr>
      <w:r>
        <w:t xml:space="preserve">4. Outcomes and Impact Assessment</w:t>
      </w:r>
    </w:p>
    <w:p>
      <w:pPr>
        <w:pStyle w:val="FirstParagraph"/>
      </w:pPr>
      <w:r>
        <w:t xml:space="preserve">The treatment duration spanned 18 months, resulting in significant clinical improvements. The overjet reduced from 9mm to 2mm, achieving ideal Class I occlusion. Functionally, Patient A reported improved chewing efficiency and clearer speech.</w:t>
      </w:r>
    </w:p>
    <w:p>
      <w:pPr>
        <w:pStyle w:val="BodyText"/>
      </w:pPr>
      <w:r>
        <w:rPr>
          <w:bCs/>
          <w:b/>
        </w:rPr>
        <w:t xml:space="preserve">Patient-Reported Outcome Measures (PROMs):</w:t>
      </w:r>
    </w:p>
    <w:p>
      <w:pPr>
        <w:numPr>
          <w:ilvl w:val="0"/>
          <w:numId w:val="1003"/>
        </w:numPr>
        <w:pStyle w:val="Compact"/>
      </w:pPr>
      <w:r>
        <w:rPr>
          <w:bCs/>
          <w:b/>
        </w:rPr>
        <w:t xml:space="preserve">Social Confidence:</w:t>
      </w:r>
      <w:r>
        <w:t xml:space="preserve"> The patient’s self-reported confidence scores increased by 70% based on standardized questionnaires.</w:t>
      </w:r>
    </w:p>
    <w:p>
      <w:pPr>
        <w:numPr>
          <w:ilvl w:val="0"/>
          <w:numId w:val="1003"/>
        </w:numPr>
        <w:pStyle w:val="Compact"/>
      </w:pPr>
      <w:r>
        <w:t xml:space="preserve">Academic Performance</w:t>
      </w:r>
      <w:r>
        <w:t xml:space="preserve">: Teachers noted improved participation in class discussions and group activities.</w:t>
      </w:r>
    </w:p>
    <w:p>
      <w:pPr>
        <w:pStyle w:val="FirstParagraph"/>
      </w:pPr>
      <w:r>
        <w:t xml:space="preserve">This outcome underscores the vital role an Orthodontist plays beyond clinical dentistry. In the context of United Kingdom Manchester, where youth engagement and educational attainment are prioritized by local councils, orthodontic treatment serves as a catalyst for broader social inclusion.</w:t>
      </w:r>
    </w:p>
    <w:bookmarkEnd w:id="27"/>
    <w:bookmarkStart w:id="28" w:name="X306c1a7c3014a6b080d3e04d05146cff62839b5"/>
    <w:p>
      <w:pPr>
        <w:pStyle w:val="Heading2"/>
      </w:pPr>
      <w:r>
        <w:t xml:space="preserve">5. Challenges Specific to the United Kingdom Manchester Region</w:t>
      </w:r>
    </w:p>
    <w:p>
      <w:pPr>
        <w:pStyle w:val="FirstParagraph"/>
      </w:pPr>
      <w:r>
        <w:t xml:space="preserve">While the case was successful, it highlights several systemic challenges faced by an Orthodontist in this area:</w:t>
      </w:r>
    </w:p>
    <w:p>
      <w:pPr>
        <w:numPr>
          <w:ilvl w:val="0"/>
          <w:numId w:val="1004"/>
        </w:numPr>
        <w:pStyle w:val="Compact"/>
      </w:pPr>
      <w:r>
        <w:rPr>
          <w:bCs/>
          <w:b/>
        </w:rPr>
        <w:t xml:space="preserve">NHS Waiting Lists:</w:t>
      </w:r>
      <w:r>
        <w:t xml:space="preserve"> Access to NHS orthodontics is strictly governed by the Index of Orthodontic Treatment Need (IOTN). Many patients who suffer psychologically but fall just below the threshold for priority treatment face long private wait times or high out-of-pocket costs.</w:t>
      </w:r>
    </w:p>
    <w:p>
      <w:pPr>
        <w:numPr>
          <w:ilvl w:val="0"/>
          <w:numId w:val="1004"/>
        </w:numPr>
        <w:pStyle w:val="Compact"/>
      </w:pPr>
      <w:r>
        <w:t xml:space="preserve">Socio-Economic Barriers:</w:t>
      </w:r>
      <w:r>
        <w:t xml:space="preserve"> In some areas of Greater Manchester, families struggle with the affordability of private orthodontic care. Clinics often need to implement flexible payment plans to remain accessible.</w:t>
      </w:r>
    </w:p>
    <w:p>
      <w:pPr>
        <w:numPr>
          <w:ilvl w:val="0"/>
          <w:numId w:val="1004"/>
        </w:numPr>
        <w:pStyle w:val="Compact"/>
      </w:pPr>
      <w:r>
        <w:rPr>
          <w:bCs/>
          <w:b/>
        </w:rPr>
        <w:t xml:space="preserve">Dental Deserts:</w:t>
      </w:r>
      <w:r>
        <w:t xml:space="preserve"> Certain suburban zones in Manchester suffer from a shortage of specialist services, requiring patients to travel significant distances for consultation with a qualified Orthodontist.</w:t>
      </w:r>
    </w:p>
    <w:bookmarkEnd w:id="28"/>
    <w:bookmarkStart w:id="29" w:name="X7119963f236eee151aedb1a7d544fc8f99b0cbd"/>
    <w:p>
      <w:pPr>
        <w:pStyle w:val="Heading2"/>
      </w:pPr>
      <w:r>
        <w:t xml:space="preserve">6. Community Engagement and Future Directions</w:t>
      </w:r>
    </w:p>
    <w:p>
      <w:pPr>
        <w:pStyle w:val="FirstParagraph"/>
      </w:pPr>
      <w:r>
        <w:t xml:space="preserve">To address these challenges forward-thinking practices in United Kingdom Manchester have begun integrating community outreach programs. An Orthodontist may collaborate with local schools to provide screening days, educating teenagers and parents about the importance of early intervention. These initiatives help demystify orthodontic treatment and encourage proactive dental health behaviors.</w:t>
      </w:r>
    </w:p>
    <w:p>
      <w:pPr>
        <w:pStyle w:val="BodyText"/>
      </w:pPr>
      <w:r>
        <w:t xml:space="preserve">Furthermore, the adoption of tele-orthodontics is gaining traction in Manchester. Remote monitoring via smartphone apps allows patients to check progress without frequent visits to the clinic, reducing absenteeism from school and transport costs for families. This technological integration represents the future of orthodontic care in urban centers like United Kingdom Manchester.</w:t>
      </w:r>
    </w:p>
    <w:bookmarkEnd w:id="29"/>
    <w:bookmarkStart w:id="30" w:name="conclusion"/>
    <w:p>
      <w:pPr>
        <w:pStyle w:val="Heading2"/>
      </w:pPr>
      <w:r>
        <w:t xml:space="preserve">7. Conclusion</w:t>
      </w:r>
    </w:p>
    <w:p>
      <w:pPr>
        <w:pStyle w:val="FirstParagraph"/>
      </w:pPr>
      <w:r>
        <w:t xml:space="preserve">This case study illustrates that the role of an Orthodontist in United Kingdom Manchester is complex and impactful. It involves not only technical proficiency in aligning teeth but also a deep understanding of the socio-cultural fabric of the city. By addressing both functional and aesthetic concerns, an Orthodontist contributes directly to improved mental health, educational success, and social confidence among young people.</w:t>
      </w:r>
    </w:p>
    <w:p>
      <w:pPr>
        <w:pStyle w:val="BodyText"/>
      </w:pPr>
      <w:r>
        <w:t xml:space="preserve">As Manchester continues to grow as a hub for healthcare innovation in the United Kingdom, it is essential that orthodontic services remain accessible and equitable. Future developments should focus on bridging the gap between NHS provision and private care, ensuring that every individual in United Kingdom Manchester has access to the transformative benefits of expert orthodontic treatment.</w:t>
      </w:r>
    </w:p>
    <w:p>
      <w:r>
        <w:pict>
          <v:rect style="width:0;height:1.5pt" o:hralign="center" o:hrstd="t" o:hr="t"/>
        </w:pict>
      </w:r>
    </w:p>
    <w:p>
      <w:pPr>
        <w:pStyle w:val="FirstParagraph"/>
      </w:pPr>
      <w:r>
        <w:rPr>
          <w:iCs/>
          <w:i/>
        </w:rPr>
        <w:t xml:space="preserve">Note: This document is a fictional case study created for illustrative purposes regarding best practices in orthodontics within the specified geographic region. All patient names and specific clinical details have been anonymized or simulated.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Smiles in United Kingdom Manchester</dc:title>
  <dc:creator/>
  <dc:language>en</dc:language>
  <cp:keywords/>
  <dcterms:created xsi:type="dcterms:W3CDTF">2026-07-29T08:59:08Z</dcterms:created>
  <dcterms:modified xsi:type="dcterms:W3CDTF">2026-07-29T08:59:08Z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