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Orthodontic</w:t>
      </w:r>
      <w:r>
        <w:t xml:space="preserve"> </w:t>
      </w:r>
      <w:r>
        <w:t xml:space="preserve">Practice</w:t>
      </w:r>
      <w:r>
        <w:t xml:space="preserve"> </w:t>
      </w:r>
      <w:r>
        <w:t xml:space="preserve">in</w:t>
      </w:r>
      <w:r>
        <w:t xml:space="preserve"> </w:t>
      </w:r>
      <w:r>
        <w:t xml:space="preserve">Venezuela,</w:t>
      </w:r>
      <w:r>
        <w:t xml:space="preserve"> </w:t>
      </w:r>
      <w:r>
        <w:t xml:space="preserve">Caracas</w:t>
      </w:r>
    </w:p>
    <w:bookmarkStart w:id="32" w:name="X5af5ae598bdff5d920194ef6ea5b48179cbfb9f"/>
    <w:p>
      <w:pPr>
        <w:pStyle w:val="Heading1"/>
      </w:pPr>
      <w:r>
        <w:t xml:space="preserve">Case Study: Strategic Resilience and Market Positioning for an Orthodontist in Venezuela, Caracas</w:t>
      </w:r>
    </w:p>
    <w:p>
      <w:pPr>
        <w:pStyle w:val="FirstParagraph"/>
      </w:pPr>
      <w:r>
        <w:rPr>
          <w:bCs/>
          <w:b/>
        </w:rPr>
        <w:t xml:space="preserve">Date:</w:t>
      </w:r>
      <w:r>
        <w:t xml:space="preserve"> </w:t>
      </w:r>
      <w:r>
        <w:t xml:space="preserve">October 2023</w:t>
      </w:r>
      <w:r>
        <w:br/>
      </w:r>
      <w:r>
        <w:rPr>
          <w:iCs/>
          <w:i/>
          <w:bCs/>
          <w:b/>
        </w:rPr>
        <w:t xml:space="preserve">The Orthodontist</w:t>
      </w:r>
      <w:r>
        <w:t xml:space="preserve">: Dr. Elena Rodriguez (Pseudonym)</w:t>
      </w:r>
      <w:r>
        <w:br/>
      </w:r>
      <w:r>
        <w:rPr>
          <w:iCs/>
          <w:i/>
          <w:bCs/>
          <w:b/>
        </w:rPr>
        <w:t xml:space="preserve">Venezuela Caracas</w:t>
      </w:r>
      <w:r>
        <w:t xml:space="preserve">: Capital Region, Urban Center</w:t>
      </w:r>
      <w:r>
        <w:br/>
      </w:r>
    </w:p>
    <w:p>
      <w:pPr>
        <w:pStyle w:val="BodyText"/>
      </w:pPr>
      <w:r>
        <w:t xml:space="preserve">Focus:: Navigating hyperinflation, supply chain constraints, and shifting demographics to build a sustainable private healthcare model.</w:t>
      </w:r>
    </w:p>
    <w:bookmarkStart w:id="20" w:name="executive-summary"/>
    <w:p>
      <w:pPr>
        <w:pStyle w:val="Heading2"/>
      </w:pPr>
      <w:r>
        <w:t xml:space="preserve">1. Executive Summary</w:t>
      </w:r>
    </w:p>
    <w:p>
      <w:pPr>
        <w:pStyle w:val="FirstParagraph"/>
      </w:pPr>
      <w:r>
        <w:t xml:space="preserve">This case study examines the operational challenges and strategic adaptations required for a specialized dental practice in one of South America’s most complex economic environments. The subject of this analysis is an experienced</w:t>
      </w:r>
      <w:r>
        <w:t xml:space="preserve"> </w:t>
      </w:r>
      <w:r>
        <w:rPr>
          <w:iCs/>
          <w:i/>
          <w:bCs/>
          <w:b/>
        </w:rPr>
        <w:t xml:space="preserve">Orthodontist</w:t>
      </w:r>
      <w:r>
        <w:t xml:space="preserve"> </w:t>
      </w:r>
      <w:r>
        <w:t xml:space="preserve">operating within the capital city, Caracas, in</w:t>
      </w:r>
      <w:r>
        <w:t xml:space="preserve"> </w:t>
      </w:r>
      <w:r>
        <w:rPr>
          <w:iCs/>
          <w:i/>
          <w:bCs/>
          <w:b/>
        </w:rPr>
        <w:t xml:space="preserve">Venezuela Caracas</w:t>
      </w:r>
      <w:r>
        <w:t xml:space="preserve">. Despite the macroeconomic volatility that has characterized the nation for nearly a decade, this practice has achieved profitability and patient retention by pivoting toward international payment structures, localized supply chain innovation, and high-touch patient education. This document serves as a blueprint for understanding how specialized medical services can thrive amidst instability.</w:t>
      </w:r>
    </w:p>
    <w:bookmarkEnd w:id="20"/>
    <w:bookmarkStart w:id="21" w:name="X8e6759a225e9838b92d43832386b99643ef05f8"/>
    <w:p>
      <w:pPr>
        <w:pStyle w:val="Heading2"/>
      </w:pPr>
      <w:r>
        <w:t xml:space="preserve">2. Background: The Context of Venezuela Caracas</w:t>
      </w:r>
    </w:p>
    <w:p>
      <w:pPr>
        <w:pStyle w:val="FirstParagraph"/>
      </w:pPr>
      <w:r>
        <w:rPr>
          <w:iCs/>
          <w:i/>
          <w:bCs/>
          <w:b/>
        </w:rPr>
        <w:t xml:space="preserve">Venezuela Caracas</w:t>
      </w:r>
      <w:r>
        <w:t xml:space="preserve"> </w:t>
      </w:r>
      <w:r>
        <w:t xml:space="preserve">represents a paradoxical market for healthcare providers. On one hand, the city is the political, economic, and cultural heart of the nation, hosting a concentration of wealth and professional services. On the other hand, it faces significant infrastructure deficits, including intermittent electricity and water shortages. For an</w:t>
      </w:r>
      <w:r>
        <w:t xml:space="preserve"> </w:t>
      </w:r>
      <w:r>
        <w:rPr>
          <w:iCs/>
          <w:i/>
          <w:bCs/>
          <w:b/>
        </w:rPr>
        <w:t xml:space="preserve">Orthodontist</w:t>
      </w:r>
      <w:r>
        <w:t xml:space="preserve">, these infrastructural challenges are compounded by specific clinical needs: continuous power is required for sterilization equipment, digital imaging systems (CBCT scans), and computer-aided design/computer-aided manufacturing (CAD/CAM) software.</w:t>
      </w:r>
    </w:p>
    <w:p>
      <w:pPr>
        <w:pStyle w:val="BodyText"/>
      </w:pPr>
      <w:r>
        <w:t xml:space="preserve">The demographic landscape of Caracas has shifted dramatically. A significant portion of the middle class emigrated between 2015 and 2020. However, those who remain often possess stronger financial resilience, frequently linked to foreign remittances or employment in international sectors. This creates a niche market for high-quality, premium healthcare services that are inaccessible to the general population but highly sought after by the affluent elite and returning expatriates.</w:t>
      </w:r>
    </w:p>
    <w:bookmarkEnd w:id="21"/>
    <w:bookmarkStart w:id="24" w:name="Xa2a8cfb7403ead776eac837f45e38c997f55d85"/>
    <w:p>
      <w:pPr>
        <w:pStyle w:val="Heading2"/>
      </w:pPr>
      <w:r>
        <w:t xml:space="preserve">3. Problem Statement: The Unique Challenges of the Orthodontic Sector</w:t>
      </w:r>
    </w:p>
    <w:p>
      <w:pPr>
        <w:pStyle w:val="FirstParagraph"/>
      </w:pPr>
      <w:r>
        <w:t xml:space="preserve">The primary challenge for an</w:t>
      </w:r>
      <w:r>
        <w:t xml:space="preserve"> </w:t>
      </w:r>
      <w:r>
        <w:rPr>
          <w:iCs/>
          <w:i/>
          <w:bCs/>
          <w:b/>
        </w:rPr>
        <w:t xml:space="preserve">Orthodontist</w:t>
      </w:r>
      <w:r>
        <w:t xml:space="preserve"> </w:t>
      </w:r>
      <w:r>
        <w:t xml:space="preserve">in this region is not demand, but supply chain continuity and financial liquidity. Unlike general dentistry, which may rely on immediate cash transactions for single procedures, orthodontics involves long-term treatment plans (18–24 months) requiring consistent payments. In a volatile currency environment, managing cash flow over two years is exceptionally difficult.</w:t>
      </w:r>
    </w:p>
    <w:bookmarkStart w:id="22" w:name="supply-chain-disruption"/>
    <w:p>
      <w:pPr>
        <w:pStyle w:val="Heading3"/>
      </w:pPr>
      <w:r>
        <w:t xml:space="preserve">3.1 Supply Chain Disruption</w:t>
      </w:r>
    </w:p>
    <w:p>
      <w:pPr>
        <w:pStyle w:val="FirstParagraph"/>
      </w:pPr>
      <w:r>
        <w:t xml:space="preserve">Editions of orthodontic braces, wires, and aligners are predominantly imported from the United States or Europe. Sanctions, customs bottlenecks, and currency exchange controls have historically made importing these materials erratic. An</w:t>
      </w:r>
      <w:r>
        <w:t xml:space="preserve"> </w:t>
      </w:r>
      <w:r>
        <w:rPr>
          <w:iCs/>
          <w:i/>
          <w:bCs/>
          <w:b/>
        </w:rPr>
        <w:t xml:space="preserve">Orthodontist</w:t>
      </w:r>
      <w:r>
        <w:t xml:space="preserve"> </w:t>
      </w:r>
      <w:r>
        <w:t xml:space="preserve">cannot simply order supplies; they must forecast demand months in advance to ensure stock availability.</w:t>
      </w:r>
    </w:p>
    <w:bookmarkEnd w:id="22"/>
    <w:bookmarkStart w:id="23" w:name="infrastructure-reliability"/>
    <w:p>
      <w:pPr>
        <w:pStyle w:val="Heading3"/>
      </w:pPr>
      <w:r>
        <w:t xml:space="preserve">3.2 Infrastructure Reliability</w:t>
      </w:r>
    </w:p>
    <w:p>
      <w:pPr>
        <w:pStyle w:val="FirstParagraph"/>
      </w:pPr>
      <w:r>
        <w:t xml:space="preserve">In Caracas, power outages can last several hours daily. For an orthodontic clinic using digital impression scanners and CAD software for clear aligner therapy, a sudden power loss can result in data corruption or hardware damage. This necessitates significant investment in backup generators and uninterruptible power supplies (UPS).</w:t>
      </w:r>
    </w:p>
    <w:bookmarkEnd w:id="23"/>
    <w:bookmarkEnd w:id="24"/>
    <w:bookmarkStart w:id="29" w:name="strategic-interventions"/>
    <w:p>
      <w:pPr>
        <w:pStyle w:val="Heading2"/>
      </w:pPr>
      <w:r>
        <w:t xml:space="preserve">4. Strategic Interventions</w:t>
      </w:r>
    </w:p>
    <w:p>
      <w:pPr>
        <w:pStyle w:val="FirstParagraph"/>
      </w:pPr>
      <w:r>
        <w:t xml:space="preserve">To overcome these hurdles, the practice implemented four key strategic pillars:</w:t>
      </w:r>
    </w:p>
    <w:bookmarkStart w:id="25" w:name="X5aef24dfd889c06ff0a1486a6ba12923331f195"/>
    <w:p>
      <w:pPr>
        <w:pStyle w:val="Heading3"/>
      </w:pPr>
      <w:r>
        <w:t xml:space="preserve">4.1 Financial Structuring: Dollarization of Services</w:t>
      </w:r>
    </w:p>
    <w:p>
      <w:pPr>
        <w:pStyle w:val="FirstParagraph"/>
      </w:pPr>
      <w:r>
        <w:t xml:space="preserve">The clinic adopted a fully dollarized pricing model for treatment plans. While Venezuelan Bolívares (VES) are used for daily utilities, contracts are signed in USD to protect against inflation. Furthermore, the practice partnered with international payment processors that allow patients living abroad (the diaspora) to pay directly for their family members’ treatments in Caracas. This "remittance healthcare" model ensures a steady stream of foreign currency revenue, insulating the</w:t>
      </w:r>
      <w:r>
        <w:t xml:space="preserve"> </w:t>
      </w:r>
      <w:r>
        <w:rPr>
          <w:iCs/>
          <w:i/>
          <w:bCs/>
          <w:b/>
        </w:rPr>
        <w:t xml:space="preserve">Orthodontist</w:t>
      </w:r>
      <w:r>
        <w:t xml:space="preserve"> </w:t>
      </w:r>
      <w:r>
        <w:t xml:space="preserve">from local economic shocks.</w:t>
      </w:r>
    </w:p>
    <w:bookmarkEnd w:id="25"/>
    <w:bookmarkStart w:id="26" w:name="localized-supply-chain-solutions"/>
    <w:p>
      <w:pPr>
        <w:pStyle w:val="Heading3"/>
      </w:pPr>
      <w:r>
        <w:t xml:space="preserve">4.2 Localized Supply Chain Solutions</w:t>
      </w:r>
    </w:p>
    <w:p>
      <w:pPr>
        <w:pStyle w:val="FirstParagraph"/>
      </w:pPr>
      <w:r>
        <w:t xml:space="preserve">Relying solely on direct imports proved unsustainable due to customs delays. The practice established relationships with regional distributors in neighboring countries (Colombia and Panama) who maintain stock of essential orthodontic brackets and wires. While this increases unit costs, it guarantees delivery timelines. Additionally, the clinic began collaborating with local 3D printing specialists to produce custom orthodontic models locally, reducing reliance on imported plaster or digital molds.</w:t>
      </w:r>
    </w:p>
    <w:bookmarkEnd w:id="26"/>
    <w:bookmarkStart w:id="27" w:name="technology-adoption-for-efficiency"/>
    <w:p>
      <w:pPr>
        <w:pStyle w:val="Heading3"/>
      </w:pPr>
      <w:r>
        <w:t xml:space="preserve">4.3 Technology Adoption for Efficiency</w:t>
      </w:r>
    </w:p>
    <w:p>
      <w:pPr>
        <w:pStyle w:val="FirstParagraph"/>
      </w:pPr>
      <w:r>
        <w:t xml:space="preserve">The clinic invested in a fully digital workflow. Digital impressions eliminate the need for messy alginate materials, which can be affected by humidity and temperature fluctuations common in Caracas. More importantly, digital records allow for tele-orthodontics follow-ups. Patients can send photos via secure apps to monitor progress, reducing the frequency of physical visits. This is crucial in a city where traffic congestion ("la guayaba") can make travel difficult and time-consuming.</w:t>
      </w:r>
    </w:p>
    <w:bookmarkEnd w:id="27"/>
    <w:bookmarkStart w:id="28" w:name="premium-brand-positioning"/>
    <w:p>
      <w:pPr>
        <w:pStyle w:val="Heading3"/>
      </w:pPr>
      <w:r>
        <w:t xml:space="preserve">4.4 Premium Brand Positioning</w:t>
      </w:r>
    </w:p>
    <w:p>
      <w:pPr>
        <w:pStyle w:val="FirstParagraph"/>
      </w:pPr>
      <w:r>
        <w:t xml:space="preserve">In a market where public healthcare is overburdened, private orthodontic care became a status symbol. The clinic rebranded itself not just as a medical facility but as a lifestyle enhancement center. The interior design of the Caracas office reflects international standards, providing air conditioning and reliable Wi-Fi—amenities that are rare in the city. This creates an environment where patients feel secure and valued, fostering high retention rates.</w:t>
      </w:r>
    </w:p>
    <w:bookmarkEnd w:id="28"/>
    <w:bookmarkEnd w:id="29"/>
    <w:bookmarkStart w:id="30" w:name="results-and-impact"/>
    <w:p>
      <w:pPr>
        <w:pStyle w:val="Heading2"/>
      </w:pPr>
      <w:r>
        <w:t xml:space="preserve">5. Results and Impact</w:t>
      </w:r>
    </w:p>
    <w:p>
      <w:pPr>
        <w:pStyle w:val="FirstParagraph"/>
      </w:pPr>
      <w:r>
        <w:t xml:space="preserve">Within 18 months of implementing these strategies, the practice observed significant improvements:</w:t>
      </w:r>
    </w:p>
    <w:p>
      <w:pPr>
        <w:numPr>
          <w:ilvl w:val="0"/>
          <w:numId w:val="1001"/>
        </w:numPr>
        <w:pStyle w:val="Compact"/>
      </w:pPr>
      <w:r>
        <w:rPr>
          <w:bCs/>
          <w:b/>
        </w:rPr>
        <w:t xml:space="preserve">Patient Retention:</w:t>
      </w:r>
      <w:r>
        <w:t xml:space="preserve"> Retention rates increased by 40%, as patients trusted the clinic’s ability to complete long-term treatments despite external instability.</w:t>
      </w:r>
    </w:p>
    <w:p>
      <w:pPr>
        <w:numPr>
          <w:ilvl w:val="0"/>
          <w:numId w:val="1001"/>
        </w:numPr>
        <w:pStyle w:val="Compact"/>
      </w:pPr>
      <w:r>
        <w:rPr>
          <w:bCs/>
          <w:b/>
        </w:rPr>
        <w:t xml:space="preserve">Revenue Stability:</w:t>
      </w:r>
    </w:p>
    <w:p>
      <w:pPr>
        <w:numPr>
          <w:ilvl w:val="0"/>
          <w:numId w:val="1001"/>
        </w:numPr>
        <w:pStyle w:val="Compact"/>
      </w:pPr>
      <w:r>
        <w:rPr>
          <w:bCs/>
          <w:b/>
        </w:rPr>
        <w:t xml:space="preserve">Operational Resilience:</w:t>
      </w:r>
      <w:r>
        <w:t xml:space="preserve"> Investment in solar power and battery backups ensured zero downtime during grid failures, protecting expensive digital equipment.</w:t>
      </w:r>
    </w:p>
    <w:bookmarkEnd w:id="30"/>
    <w:bookmarkStart w:id="31" w:name="conclusion"/>
    <w:p>
      <w:pPr>
        <w:pStyle w:val="Heading2"/>
      </w:pPr>
      <w:r>
        <w:t xml:space="preserve">6. Conclusion</w:t>
      </w:r>
    </w:p>
    <w:p>
      <w:pPr>
        <w:pStyle w:val="FirstParagraph"/>
      </w:pPr>
      <w:r>
        <w:t xml:space="preserve">This case study demonstrates that an</w:t>
      </w:r>
      <w:r>
        <w:t xml:space="preserve"> </w:t>
      </w:r>
      <w:r>
        <w:rPr>
          <w:iCs/>
          <w:i/>
          <w:bCs/>
          <w:b/>
        </w:rPr>
        <w:t xml:space="preserve">Orthodontist</w:t>
      </w:r>
      <w:r>
        <w:t xml:space="preserve"> in</w:t>
      </w:r>
      <w:r>
        <w:t xml:space="preserve"> </w:t>
      </w:r>
      <w:r>
        <w:rPr>
          <w:iCs/>
          <w:i/>
          <w:bCs/>
          <w:b/>
        </w:rPr>
        <w:t xml:space="preserve">Venezuela Caracas</w:t>
      </w:r>
      <w:r>
        <w:t xml:space="preserve"> can not only survive but thrive by adapting to the unique local context. The key lies in decoupling revenue streams from the local currency, securing alternative supply chains, and leveraging technology to mitigate infrastructure deficits. For medical professionals considering entry into similar emerging markets, the lessons here are clear: resilience requires innovation in logistics and finance as much as it does clinical excellence.</w:t>
      </w:r>
    </w:p>
    <w:p>
      <w:pPr>
        <w:pStyle w:val="BodyText"/>
      </w:pPr>
      <w:r>
        <w:t xml:space="preserve">The story of this practice in Caracas is a testament to the enduring human desire for health and aesthetic improvement, even in the face of profound economic adversity. By treating orthodontics not merely as a medical necessity but as a premium service supported by robust international financial structures, the clinic has become a beacon of stability and quality care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Orthodontic Practice in Venezuela, Caracas</dc:title>
  <dc:creator/>
  <cp:keywords/>
  <dcterms:created xsi:type="dcterms:W3CDTF">2026-07-29T14:23:51Z</dcterms:created>
  <dcterms:modified xsi:type="dcterms:W3CDTF">2026-07-29T14:23:51Z</dcterms:modified>
</cp:coreProperties>
</file>

<file path=docProps/custom.xml><?xml version="1.0" encoding="utf-8"?>
<Properties xmlns="http://schemas.openxmlformats.org/officeDocument/2006/custom-properties" xmlns:vt="http://schemas.openxmlformats.org/officeDocument/2006/docPropsVTypes"/>
</file>