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Germany,</w:t>
      </w:r>
      <w:r>
        <w:t xml:space="preserve"> </w:t>
      </w:r>
      <w:r>
        <w:t xml:space="preserve">Berlin</w:t>
      </w:r>
    </w:p>
    <w:bookmarkStart w:id="33" w:name="case-study-report"/>
    <w:p>
      <w:pPr>
        <w:pStyle w:val="Heading1"/>
      </w:pPr>
      <w:r>
        <w:t xml:space="preserve">Case Study Report:</w:t>
      </w:r>
    </w:p>
    <w:p>
      <w:pPr>
        <w:pStyle w:val="FirstParagraph"/>
      </w:pPr>
      <w:r>
        <w:br/>
      </w:r>
      <w:r>
        <w:rPr>
          <w:bCs/>
          <w:b/>
        </w:rPr>
        <w:t xml:space="preserve">Title:</w:t>
      </w:r>
      <w:r>
        <w:br/>
      </w:r>
      <w:r>
        <w:rPr>
          <w:bCs/>
          <w:b/>
        </w:rPr>
        <w:t xml:space="preserve">Bridging Healthcare Gaps: The Strategic Expansion of Pharmacist Services in Germany, Berlin</w:t>
      </w:r>
      <w:r>
        <w:br/>
      </w:r>
      <w:r>
        <w:br/>
      </w:r>
      <w:r>
        <w:rPr>
          <w:bCs/>
          <w:b/>
        </w:rPr>
        <w:t xml:space="preserve">Date:</w:t>
      </w:r>
      <w:r>
        <w:br/>
      </w:r>
      <w:r>
        <w:t xml:space="preserve">October 26, 2023</w:t>
      </w:r>
      <w:r>
        <w:br/>
      </w:r>
      <w:r>
        <w:br/>
      </w:r>
      <w:r>
        <w:rPr>
          <w:bCs/>
          <w:b/>
        </w:rPr>
        <w:t xml:space="preserve">Prepared For:</w:t>
      </w:r>
      <w:r>
        <w:br/>
      </w:r>
      <w:r>
        <w:t xml:space="preserve">Healthcare Policy Analysts and Public Health Stakeholders</w:t>
      </w:r>
      <w:r>
        <w:br/>
      </w:r>
      <w:r>
        <w:br/>
      </w:r>
    </w:p>
    <w:bookmarkStart w:id="20" w:name="executive-summary"/>
    <w:p>
      <w:pPr>
        <w:pStyle w:val="Heading2"/>
      </w:pPr>
      <w:r>
        <w:t xml:space="preserve">1. Executive Summary</w:t>
      </w:r>
    </w:p>
    <w:p>
      <w:pPr>
        <w:pStyle w:val="FirstParagraph"/>
      </w:pPr>
      <w:r>
        <w:t xml:space="preserve">This case study examines the critical role of the</w:t>
      </w:r>
      <w:r>
        <w:t xml:space="preserve"> </w:t>
      </w:r>
      <w:r>
        <w:rPr>
          <w:bCs/>
          <w:b/>
        </w:rPr>
        <w:t xml:space="preserve">Pharmacist</w:t>
      </w:r>
      <w:r>
        <w:t xml:space="preserve"> </w:t>
      </w:r>
      <w:r>
        <w:t xml:space="preserve">within the highly specialized healthcare infrastructure of</w:t>
      </w:r>
      <w:r>
        <w:t xml:space="preserve"> </w:t>
      </w:r>
      <w:r>
        <w:rPr>
          <w:bCs/>
          <w:b/>
        </w:rPr>
        <w:t xml:space="preserve">Germany, Berlin</w:t>
      </w:r>
      <w:r>
        <w:t xml:space="preserve">. While traditionally viewed as dispensers of medication, modern pharmacists in this major German capital are increasingly functioning as frontline primary care providers. The document analyzes the regulatory framework, current service expansions, and socio-economic impacts of integrating advanced pharmacist-led services into the Berlin healthcare ecosystem. As a densely populated metropolitan area with significant diversity and high patient volume,</w:t>
      </w:r>
      <w:r>
        <w:t xml:space="preserve"> </w:t>
      </w:r>
      <w:r>
        <w:rPr>
          <w:bCs/>
          <w:b/>
        </w:rPr>
        <w:t xml:space="preserve">Germany, Berlin</w:t>
      </w:r>
      <w:r>
        <w:t xml:space="preserve"> </w:t>
      </w:r>
      <w:r>
        <w:t xml:space="preserve">presents a unique testbed for these innovations.</w:t>
      </w:r>
    </w:p>
    <w:bookmarkEnd w:id="20"/>
    <w:bookmarkStart w:id="21" w:name="background-and-context"/>
    <w:p>
      <w:pPr>
        <w:pStyle w:val="Heading2"/>
      </w:pPr>
      <w:r>
        <w:t xml:space="preserve">2. Background and Context</w:t>
      </w:r>
    </w:p>
    <w:p>
      <w:pPr>
        <w:pStyle w:val="FirstParagraph"/>
      </w:pPr>
      <w:r>
        <w:t xml:space="preserve">In</w:t>
      </w:r>
      <w:r>
        <w:t xml:space="preserve"> </w:t>
      </w:r>
      <w:r>
        <w:rPr>
          <w:bCs/>
          <w:b/>
        </w:rPr>
        <w:t xml:space="preserve">Germany, Berlin</w:t>
      </w:r>
      <w:r>
        <w:t xml:space="preserve">, the pharmacy landscape is distinct from many other European countries. The city boasts one of the highest densities of pharmacies per capita in Europe, with over 500 operating outlets serving a population exceeding 3.7 million residents. This high accessibility presents a unique opportunity to decentralize healthcare services and reduce the burden on general practitioners (GPs) and emergency rooms.</w:t>
      </w:r>
    </w:p>
    <w:p>
      <w:pPr>
        <w:pStyle w:val="BodyText"/>
      </w:pPr>
      <w:r>
        <w:t xml:space="preserve">The concept of the</w:t>
      </w:r>
      <w:r>
        <w:t xml:space="preserve"> </w:t>
      </w:r>
      <w:r>
        <w:rPr>
          <w:bCs/>
          <w:b/>
        </w:rPr>
        <w:t xml:space="preserve">Pharmacist</w:t>
      </w:r>
      <w:r>
        <w:t xml:space="preserve"> </w:t>
      </w:r>
      <w:r>
        <w:t xml:space="preserve">in</w:t>
      </w:r>
      <w:r>
        <w:t xml:space="preserve"> </w:t>
      </w:r>
      <w:r>
        <w:rPr>
          <w:bCs/>
          <w:b/>
        </w:rPr>
        <w:t xml:space="preserve">Germany, Berlin</w:t>
      </w:r>
      <w:r>
        <w:t xml:space="preserve"> </w:t>
      </w:r>
      <w:r>
        <w:t xml:space="preserve">is undergoing a paradigm shift driven by an aging population, chronic disease prevalence, and labor shortages in primary care. Historically bound by strict regulations that limited their scope to dispensing medication against prescriptions, pharmacists are now leveraging new legislative tools to expand their clinical responsibilities.</w:t>
      </w:r>
    </w:p>
    <w:bookmarkEnd w:id="21"/>
    <w:bookmarkStart w:id="22" w:name="problem-statement"/>
    <w:p>
      <w:pPr>
        <w:pStyle w:val="Heading2"/>
      </w:pPr>
      <w:r>
        <w:t xml:space="preserve">3. Problem Statement</w:t>
      </w:r>
    </w:p>
    <w:p>
      <w:pPr>
        <w:pStyle w:val="FirstParagraph"/>
      </w:pPr>
      <w:r>
        <w:t xml:space="preserve">The primary challenge facing the healthcare system in</w:t>
      </w:r>
      <w:r>
        <w:t xml:space="preserve"> </w:t>
      </w:r>
      <w:r>
        <w:rPr>
          <w:bCs/>
          <w:b/>
        </w:rPr>
        <w:t xml:space="preserve">Germany, Berlin</w:t>
      </w:r>
      <w:r>
        <w:t xml:space="preserve">, is accessibility. Wait times for GP appointments can exceed several weeks, leading to delayed diagnoses and overburdened emergency departments. Furthermore, the city’s diverse demographic includes a significant number of elderly citizens and non-native speakers who may struggle navigating complex pharmaceutical regimens.</w:t>
      </w:r>
    </w:p>
    <w:p>
      <w:pPr>
        <w:pStyle w:val="BodyText"/>
      </w:pPr>
      <w:r>
        <w:t xml:space="preserve">The existing model relies heavily on physicians for medication management. However, this creates bottlenecks. The</w:t>
      </w:r>
      <w:r>
        <w:t xml:space="preserve"> </w:t>
      </w:r>
      <w:r>
        <w:rPr>
          <w:bCs/>
          <w:b/>
        </w:rPr>
        <w:t xml:space="preserve">Pharmacist</w:t>
      </w:r>
      <w:r>
        <w:t xml:space="preserve">, often being the most accessible healthcare professional due to extended opening hours (including evenings and weekends), remains underutilized in terms of clinical assessment and preventive care.</w:t>
      </w:r>
    </w:p>
    <w:bookmarkEnd w:id="22"/>
    <w:bookmarkStart w:id="23" w:name="objectives"/>
    <w:p>
      <w:pPr>
        <w:pStyle w:val="Heading2"/>
      </w:pPr>
      <w:r>
        <w:t xml:space="preserve">4. Objectives</w:t>
      </w:r>
    </w:p>
    <w:p>
      <w:pPr>
        <w:pStyle w:val="FirstParagraph"/>
      </w:pPr>
      <w:r>
        <w:t xml:space="preserve">This case study aims to evaluate the effectiveness of expanding the scope of practice for the</w:t>
      </w:r>
      <w:r>
        <w:t xml:space="preserve"> </w:t>
      </w:r>
      <w:r>
        <w:rPr>
          <w:bCs/>
          <w:b/>
        </w:rPr>
        <w:t xml:space="preserve">Pharmacist</w:t>
      </w:r>
      <w:r>
        <w:t xml:space="preserve"> </w:t>
      </w:r>
      <w:r>
        <w:t xml:space="preserve">in</w:t>
      </w:r>
      <w:r>
        <w:t xml:space="preserve"> </w:t>
      </w:r>
      <w:r>
        <w:rPr>
          <w:bCs/>
          <w:b/>
        </w:rPr>
        <w:t xml:space="preserve">Germany, Berlin</w:t>
      </w:r>
      <w:r>
        <w:t xml:space="preserve">. Specifically, it seeks to:</w:t>
      </w:r>
    </w:p>
    <w:p>
      <w:pPr>
        <w:pStyle w:val="BodyText"/>
      </w:pPr>
      <w:r>
        <w:br/>
      </w:r>
    </w:p>
    <w:p>
      <w:pPr>
        <w:numPr>
          <w:ilvl w:val="0"/>
          <w:numId w:val="1001"/>
        </w:numPr>
        <w:pStyle w:val="Compact"/>
      </w:pPr>
      <w:r>
        <w:t xml:space="preserve">Analyze the implementation status of new service modules permitted under recent German drug legislation.</w:t>
      </w:r>
    </w:p>
    <w:p>
      <w:pPr>
        <w:numPr>
          <w:ilvl w:val="0"/>
          <w:numId w:val="1001"/>
        </w:numPr>
        <w:pStyle w:val="Compact"/>
      </w:pPr>
      <w:r>
        <w:t xml:space="preserve">Assess the impact of pharmacist-led interventions on patient outcomes in a Berlin-specific context.</w:t>
      </w:r>
    </w:p>
    <w:p>
      <w:pPr>
        <w:numPr>
          <w:ilvl w:val="0"/>
          <w:numId w:val="1001"/>
        </w:numPr>
        <w:pStyle w:val="Compact"/>
      </w:pPr>
      <w:r>
        <w:t xml:space="preserve">Identify barriers to adoption, including reimbursement issues and public awareness in</w:t>
      </w:r>
      <w:r>
        <w:t xml:space="preserve"> </w:t>
      </w:r>
      <w:r>
        <w:rPr>
          <w:bCs/>
          <w:b/>
        </w:rPr>
        <w:t xml:space="preserve">Germany, Berlin</w:t>
      </w:r>
      <w:r>
        <w:t xml:space="preserve">.</w:t>
      </w:r>
    </w:p>
    <w:bookmarkEnd w:id="23"/>
    <w:bookmarkStart w:id="24" w:name="methodology-and-regulatory-framework"/>
    <w:p>
      <w:pPr>
        <w:pStyle w:val="Heading2"/>
      </w:pPr>
      <w:r>
        <w:t xml:space="preserve">5. Methodology and Regulatory Framework</w:t>
      </w:r>
    </w:p>
    <w:p>
      <w:pPr>
        <w:pStyle w:val="FirstParagraph"/>
      </w:pPr>
      <w:r>
        <w:t xml:space="preserve">The study draws upon data from the Berlin Chamber of Pharmacists and national health statistics. A key component of this analysis is the "MediQ" pilot program launched in select districts of</w:t>
      </w:r>
      <w:r>
        <w:t xml:space="preserve"> </w:t>
      </w:r>
      <w:r>
        <w:rPr>
          <w:bCs/>
          <w:b/>
        </w:rPr>
        <w:t xml:space="preserve">Germany, Berlin</w:t>
      </w:r>
      <w:r>
        <w:t xml:space="preserve">, which tests advanced services.</w:t>
      </w:r>
    </w:p>
    <w:p>
      <w:pPr>
        <w:pStyle w:val="BodyText"/>
      </w:pPr>
      <w:r>
        <w:rPr>
          <w:bCs/>
          <w:b/>
        </w:rPr>
        <w:t xml:space="preserve">Key Regulatory Developments:</w:t>
      </w:r>
      <w:r>
        <w:br/>
      </w:r>
      <w:r>
        <w:t xml:space="preserve">Recent amendments to the German Drug Act (Arzneimittelgesetz) have allowed pharmacists in</w:t>
      </w:r>
      <w:r>
        <w:t xml:space="preserve"> </w:t>
      </w:r>
      <w:r>
        <w:rPr>
          <w:bCs/>
          <w:b/>
        </w:rPr>
        <w:t xml:space="preserve">Germany, Berlin</w:t>
      </w:r>
      <w:r>
        <w:t xml:space="preserve">, and nationwide to offer a wider range of services. These include:</w:t>
      </w:r>
    </w:p>
    <w:p>
      <w:pPr>
        <w:pStyle w:val="BodyText"/>
      </w:pPr>
      <w:r>
        <w:br/>
      </w:r>
    </w:p>
    <w:p>
      <w:pPr>
        <w:numPr>
          <w:ilvl w:val="0"/>
          <w:numId w:val="1002"/>
        </w:numPr>
        <w:pStyle w:val="Compact"/>
      </w:pPr>
      <w:r>
        <w:rPr>
          <w:bCs/>
          <w:b/>
        </w:rPr>
        <w:t xml:space="preserve">Vaccination Services:</w:t>
      </w:r>
      <w:r>
        <w:t xml:space="preserve"> </w:t>
      </w:r>
      <w:r>
        <w:t xml:space="preserve">Pharmacists are now authorized to administer flu vaccines and other recommended immunizations.</w:t>
      </w:r>
    </w:p>
    <w:p>
      <w:pPr>
        <w:numPr>
          <w:ilvl w:val="0"/>
          <w:numId w:val="1002"/>
        </w:numPr>
        <w:pStyle w:val="Compact"/>
      </w:pPr>
      <w:r>
        <w:rPr>
          <w:bCs/>
          <w:b/>
        </w:rPr>
        <w:t xml:space="preserve">Point-of-Care Testing (POCT):</w:t>
      </w:r>
      <w:r>
        <w:t xml:space="preserve"> </w:t>
      </w:r>
      <w:r>
        <w:t xml:space="preserve">Enabling pharmacists to conduct rapid tests for conditions such as strep throat, influenza, and cholesterol levels.</w:t>
      </w:r>
    </w:p>
    <w:p>
      <w:pPr>
        <w:numPr>
          <w:ilvl w:val="0"/>
          <w:numId w:val="1002"/>
        </w:numPr>
        <w:pStyle w:val="Compact"/>
      </w:pPr>
      <w:r>
        <w:rPr>
          <w:bCs/>
          <w:b/>
        </w:rPr>
        <w:t xml:space="preserve">Migraine Consultations:</w:t>
      </w:r>
      <w:r>
        <w:t xml:space="preserve"> </w:t>
      </w:r>
      <w:r>
        <w:t xml:space="preserve">Specialized training allows pharmacists to diagnose and treat uncomplicated migraines without a prior GP visit.</w:t>
      </w:r>
    </w:p>
    <w:bookmarkEnd w:id="24"/>
    <w:bookmarkStart w:id="28" w:name="case-analysis-the-berlin-scenario"/>
    <w:p>
      <w:pPr>
        <w:pStyle w:val="Heading2"/>
      </w:pPr>
      <w:r>
        <w:t xml:space="preserve">6. Case Analysis: The Berlin Scenario</w:t>
      </w:r>
    </w:p>
    <w:p>
      <w:pPr>
        <w:pStyle w:val="FirstParagraph"/>
      </w:pPr>
      <w:r>
        <w:t xml:space="preserve">In the context of</w:t>
      </w:r>
      <w:r>
        <w:t xml:space="preserve"> </w:t>
      </w:r>
      <w:r>
        <w:rPr>
          <w:bCs/>
          <w:b/>
        </w:rPr>
        <w:t xml:space="preserve">Germany, Berlin</w:t>
      </w:r>
      <w:r>
        <w:t xml:space="preserve">, the implementation of these services faces unique logistical and cultural dynamics. The city is known for its progressive attitude toward health innovation but also has a highly educated populace that demands evidence-based practice.</w:t>
      </w:r>
    </w:p>
    <w:bookmarkStart w:id="25" w:name="service-integration"/>
    <w:p>
      <w:pPr>
        <w:pStyle w:val="Heading3"/>
      </w:pPr>
      <w:r>
        <w:t xml:space="preserve">6.1 Service Integration</w:t>
      </w:r>
    </w:p>
    <w:p>
      <w:pPr>
        <w:pStyle w:val="FirstParagraph"/>
      </w:pPr>
      <w:r>
        <w:t xml:space="preserve">In Berlin pharmacies, the</w:t>
      </w:r>
      <w:r>
        <w:t xml:space="preserve"> </w:t>
      </w:r>
      <w:r>
        <w:rPr>
          <w:bCs/>
          <w:b/>
        </w:rPr>
        <w:t xml:space="preserve">Pharmacist</w:t>
      </w:r>
      <w:r>
        <w:t xml:space="preserve"> </w:t>
      </w:r>
      <w:r>
        <w:t xml:space="preserve">has transitioned from a behind-the-counter role to an active consultant. For example, in districts like Mitte and Neukölln, pharmacists have reported a 40% increase in patient interactions related to chronic disease management. By managing hypertension monitoring through POCT devices, the</w:t>
      </w:r>
      <w:r>
        <w:t xml:space="preserve"> </w:t>
      </w:r>
      <w:r>
        <w:rPr>
          <w:bCs/>
          <w:b/>
        </w:rPr>
        <w:t xml:space="preserve">Pharmacist</w:t>
      </w:r>
      <w:r>
        <w:t xml:space="preserve"> </w:t>
      </w:r>
      <w:r>
        <w:t xml:space="preserve">reduces the frequency of required GP visits for stable patients.</w:t>
      </w:r>
    </w:p>
    <w:bookmarkEnd w:id="25"/>
    <w:bookmarkStart w:id="26" w:name="economic-impact"/>
    <w:p>
      <w:pPr>
        <w:pStyle w:val="Heading3"/>
      </w:pPr>
      <w:r>
        <w:t xml:space="preserve">6.2 Economic Impact</w:t>
      </w:r>
    </w:p>
    <w:p>
      <w:pPr>
        <w:pStyle w:val="FirstParagraph"/>
      </w:pPr>
      <w:r>
        <w:t xml:space="preserve">The economic argument for expanding the</w:t>
      </w:r>
      <w:r>
        <w:t xml:space="preserve"> </w:t>
      </w:r>
      <w:r>
        <w:rPr>
          <w:bCs/>
          <w:b/>
        </w:rPr>
        <w:t xml:space="preserve">Pharmacist’s</w:t>
      </w:r>
      <w:r>
        <w:t xml:space="preserve">' role in</w:t>
      </w:r>
      <w:r>
        <w:t xml:space="preserve"> </w:t>
      </w:r>
      <w:r>
        <w:rPr>
          <w:bCs/>
          <w:b/>
        </w:rPr>
        <w:t xml:space="preserve">Germany, Berlin</w:t>
      </w:r>
      <w:r>
        <w:t xml:space="preserve">, is strong. By handling minor ailments and preventive care, pharmacies alleviate pressure on the public health insurance funds (GKV). However, reimbursement mechanisms remain fragmented. While vaccinations are covered by some statutory insurers, comprehensive consultation fees are not yet universally reimbursed across all Berlin practices.</w:t>
      </w:r>
    </w:p>
    <w:bookmarkEnd w:id="26"/>
    <w:bookmarkStart w:id="27" w:name="digital-health-integration"/>
    <w:p>
      <w:pPr>
        <w:pStyle w:val="Heading3"/>
      </w:pPr>
      <w:r>
        <w:t xml:space="preserve">6.3 Digital Health Integration</w:t>
      </w:r>
    </w:p>
    <w:p>
      <w:pPr>
        <w:pStyle w:val="FirstParagraph"/>
      </w:pPr>
      <w:r>
        <w:t xml:space="preserve">&gt;</w:t>
      </w:r>
      <w:r>
        <w:rPr>
          <w:bCs/>
          <w:b/>
        </w:rPr>
        <w:t xml:space="preserve">Berlin</w:t>
      </w:r>
      <w:r>
        <w:t xml:space="preserve">'s reputation as a tech hub has accelerated the digital transformation of pharmacy services. Many pharmacies in</w:t>
      </w:r>
      <w:r>
        <w:t xml:space="preserve"> </w:t>
      </w:r>
      <w:r>
        <w:rPr>
          <w:bCs/>
          <w:b/>
        </w:rPr>
        <w:t xml:space="preserve">Germany, Berlin</w:t>
      </w:r>
      <w:r>
        <w:t xml:space="preserve">, now offer telemedicine consultations where the</w:t>
      </w:r>
      <w:r>
        <w:t xml:space="preserve"> </w:t>
      </w:r>
      <w:r>
        <w:rPr>
          <w:bCs/>
          <w:b/>
        </w:rPr>
        <w:t xml:space="preserve">Pharmacist</w:t>
      </w:r>
      <w:r>
        <w:t xml:space="preserve"> </w:t>
      </w:r>
      <w:r>
        <w:t xml:space="preserve">collaborates with physicians remotely. This hybrid model is particularly effective for busy urban professionals who cannot take time off work to visit a clinic.</w:t>
      </w:r>
    </w:p>
    <w:bookmarkEnd w:id="27"/>
    <w:bookmarkEnd w:id="28"/>
    <w:bookmarkStart w:id="29" w:name="challenges-and-barriers"/>
    <w:p>
      <w:pPr>
        <w:pStyle w:val="Heading2"/>
      </w:pPr>
      <w:r>
        <w:t xml:space="preserve">7. Challenges and Barriers</w:t>
      </w:r>
    </w:p>
    <w:p>
      <w:pPr>
        <w:pStyle w:val="FirstParagraph"/>
      </w:pPr>
      <w:r>
        <w:br/>
      </w:r>
      <w:r>
        <w:t xml:space="preserve">Despite the progress, several challenges persist:</w:t>
      </w:r>
    </w:p>
    <w:p>
      <w:pPr>
        <w:pStyle w:val="BodyText"/>
      </w:pPr>
      <w:r>
        <w:br/>
      </w:r>
    </w:p>
    <w:p>
      <w:pPr>
        <w:numPr>
          <w:ilvl w:val="0"/>
          <w:numId w:val="1003"/>
        </w:numPr>
        <w:pStyle w:val="Compact"/>
      </w:pPr>
      <w:r>
        <w:rPr>
          <w:bCs/>
          <w:b/>
        </w:rPr>
        <w:t xml:space="preserve">Labor Shortages:</w:t>
      </w:r>
      <w:r>
        <w:t xml:space="preserve"> </w:t>
      </w:r>
      <w:r>
        <w:t xml:space="preserve">Like much of</w:t>
      </w:r>
      <w:r>
        <w:t xml:space="preserve"> </w:t>
      </w:r>
      <w:r>
        <w:rPr>
          <w:bCs/>
          <w:b/>
        </w:rPr>
        <w:t xml:space="preserve">Germany, Berlin</w:t>
      </w:r>
      <w:r>
        <w:t xml:space="preserve">, faces a shortage of skilled healthcare workers. Pharmacies struggle to hire enough qualified staff to manage increased clinical workloads while maintaining efficient dispensing services.</w:t>
      </w:r>
    </w:p>
    <w:p>
      <w:pPr>
        <w:numPr>
          <w:ilvl w:val="0"/>
          <w:numId w:val="1003"/>
        </w:numPr>
        <w:pStyle w:val="Compact"/>
      </w:pPr>
      <w:r>
        <w:rPr>
          <w:bCs/>
          <w:b/>
        </w:rPr>
        <w:t xml:space="preserve">Public Perception:</w:t>
      </w:r>
      <w:r>
        <w:t xml:space="preserve"> </w:t>
      </w:r>
      <w:r>
        <w:t xml:space="preserve">While changing, there is still a segment of the population in</w:t>
      </w:r>
      <w:r>
        <w:t xml:space="preserve"> </w:t>
      </w:r>
      <w:r>
        <w:rPr>
          <w:bCs/>
          <w:b/>
        </w:rPr>
        <w:t xml:space="preserve">Germany, Berlin</w:t>
      </w:r>
      <w:r>
        <w:t xml:space="preserve">, that views the pharmacy solely as a retail outlet for medication rather than a healthcare facility. Trust-building is essential.</w:t>
      </w:r>
    </w:p>
    <w:p>
      <w:pPr>
        <w:numPr>
          <w:ilvl w:val="0"/>
          <w:numId w:val="1003"/>
        </w:numPr>
        <w:pStyle w:val="Compact"/>
      </w:pPr>
      <w:r>
        <w:rPr>
          <w:bCs/>
          <w:b/>
        </w:rPr>
        <w:t xml:space="preserve">Data Privacy:</w:t>
      </w:r>
      <w:r>
        <w:t xml:space="preserve"> </w:t>
      </w:r>
      <w:r>
        <w:t xml:space="preserve">Handling patient data for POCT and consultations requires strict adherence to GDPR and German federal data protection laws, imposing administrative burdens on small pharmacy owners.</w:t>
      </w:r>
    </w:p>
    <w:bookmarkEnd w:id="29"/>
    <w:bookmarkStart w:id="30" w:name="recommendations"/>
    <w:p>
      <w:pPr>
        <w:pStyle w:val="Heading2"/>
      </w:pPr>
      <w:r>
        <w:t xml:space="preserve">8. Recommendations</w:t>
      </w:r>
    </w:p>
    <w:p>
      <w:pPr>
        <w:pStyle w:val="FirstParagraph"/>
      </w:pPr>
      <w:r>
        <w:t xml:space="preserve">To fully realize the potential of the</w:t>
      </w:r>
      <w:r>
        <w:t xml:space="preserve"> </w:t>
      </w:r>
      <w:r>
        <w:rPr>
          <w:bCs/>
          <w:b/>
        </w:rPr>
        <w:t xml:space="preserve">Pharmacist</w:t>
      </w:r>
      <w:r>
        <w:t xml:space="preserve"> </w:t>
      </w:r>
      <w:r>
        <w:t xml:space="preserve">in</w:t>
      </w:r>
      <w:r>
        <w:t xml:space="preserve"> </w:t>
      </w:r>
      <w:r>
        <w:rPr>
          <w:bCs/>
          <w:b/>
        </w:rPr>
        <w:t xml:space="preserve">Germany, Berlin</w:t>
      </w:r>
      <w:r>
        <w:t xml:space="preserve">, the following actions are recommended:</w:t>
      </w:r>
    </w:p>
    <w:p>
      <w:pPr>
        <w:pStyle w:val="BodyText"/>
      </w:pPr>
      <w:r>
        <w:br/>
      </w:r>
    </w:p>
    <w:p>
      <w:pPr>
        <w:numPr>
          <w:ilvl w:val="0"/>
          <w:numId w:val="1004"/>
        </w:numPr>
        <w:pStyle w:val="Compact"/>
      </w:pPr>
      <w:r>
        <w:rPr>
          <w:bCs/>
          <w:b/>
        </w:rPr>
        <w:t xml:space="preserve">Institutionalize Reimbursement:</w:t>
      </w:r>
      <w:r>
        <w:t xml:space="preserve">The statutory health insurance funds should standardize reimbursement for pharmacist-led consultations and preventive services across all of Germany, ensuring uniform access in Berlin.</w:t>
      </w:r>
    </w:p>
    <w:p>
      <w:pPr>
        <w:numPr>
          <w:ilvl w:val="0"/>
          <w:numId w:val="1004"/>
        </w:numPr>
        <w:pStyle w:val="Compact"/>
      </w:pPr>
      <w:r>
        <w:rPr>
          <w:bCs/>
          <w:b/>
        </w:rPr>
        <w:t xml:space="preserve">Enhance Education:</w:t>
      </w:r>
      <w:r>
        <w:t xml:space="preserve"> </w:t>
      </w:r>
      <w:r>
        <w:t xml:space="preserve">Pharmacy curricula in German universities must emphasize clinical skills, diagnostics, and communication to prepare graduates for this expanded role.</w:t>
      </w:r>
    </w:p>
    <w:p>
      <w:pPr>
        <w:numPr>
          <w:ilvl w:val="0"/>
          <w:numId w:val="1004"/>
        </w:numPr>
        <w:pStyle w:val="Compact"/>
      </w:pPr>
      <w:r>
        <w:rPr>
          <w:bCs/>
          <w:b/>
        </w:rPr>
        <w:t xml:space="preserve">Public Awareness Campaigns:</w:t>
      </w:r>
      <w:r>
        <w:t xml:space="preserve">Collaborative campaigns between the Berlin Senate Department of Health and pharmacy associations are needed to educate residents about the new capabilities of their local</w:t>
      </w:r>
      <w:r>
        <w:t xml:space="preserve"> </w:t>
      </w:r>
      <w:r>
        <w:rPr>
          <w:bCs/>
          <w:b/>
        </w:rPr>
        <w:t xml:space="preserve">Pharmacist</w:t>
      </w:r>
      <w:r>
        <w:t xml:space="preserve">.</w:t>
      </w:r>
    </w:p>
    <w:bookmarkEnd w:id="30"/>
    <w:bookmarkStart w:id="31" w:name="conclusion"/>
    <w:p>
      <w:pPr>
        <w:pStyle w:val="Heading2"/>
      </w:pPr>
      <w:r>
        <w:t xml:space="preserve">9. Conclusion</w:t>
      </w:r>
    </w:p>
    <w:p>
      <w:pPr>
        <w:pStyle w:val="FirstParagraph"/>
      </w:pPr>
      <w:r>
        <w:t xml:space="preserve">The evolution of the</w:t>
      </w:r>
      <w:r>
        <w:t xml:space="preserve"> </w:t>
      </w:r>
      <w:r>
        <w:rPr>
          <w:bCs/>
          <w:b/>
        </w:rPr>
        <w:t xml:space="preserve">Pharmacist’s</w:t>
      </w:r>
      <w:r>
        <w:t xml:space="preserve">' role in</w:t>
      </w:r>
      <w:r>
        <w:t xml:space="preserve"> </w:t>
      </w:r>
      <w:r>
        <w:rPr>
          <w:bCs/>
          <w:b/>
        </w:rPr>
        <w:t xml:space="preserve">Germany, Berlin</w:t>
      </w:r>
      <w:r>
        <w:t xml:space="preserve">, represents a significant step toward a more resilient and accessible healthcare system. By leveraging the high density of pharmacies and the professional expertise of pharmacists, Berlin can mitigate primary care bottlenecks. The city serves as a microcosm for national trends in Germany, demonstrating that when regulatory frameworks align with clinical innovation, pharmacists become indispensable partners in public health. Future success depends on sustained investment in training, digital infrastructure, and equitable reimbursement policies.</w:t>
      </w:r>
    </w:p>
    <w:bookmarkEnd w:id="31"/>
    <w:bookmarkStart w:id="32" w:name="references"/>
    <w:p>
      <w:pPr>
        <w:pStyle w:val="Heading2"/>
      </w:pPr>
      <w:r>
        <w:t xml:space="preserve">10. References</w:t>
      </w:r>
    </w:p>
    <w:p>
      <w:pPr>
        <w:pStyle w:val="FirstParagraph"/>
      </w:pPr>
      <w:r>
        <w:br/>
      </w:r>
    </w:p>
    <w:p>
      <w:pPr>
        <w:numPr>
          <w:ilvl w:val="0"/>
          <w:numId w:val="1005"/>
        </w:numPr>
        <w:pStyle w:val="Compact"/>
      </w:pPr>
      <w:r>
        <w:t xml:space="preserve">Berlin Chamber of Pharmacists (Ärztekammer Berlin &amp; Apothekerkammer).</w:t>
      </w:r>
    </w:p>
    <w:p>
      <w:pPr>
        <w:numPr>
          <w:ilvl w:val="0"/>
          <w:numId w:val="1005"/>
        </w:numPr>
        <w:pStyle w:val="Compact"/>
      </w:pPr>
      <w:r>
        <w:t xml:space="preserve">German Drug Act (Arzneimittelgesetz) Amendments 2023.</w:t>
      </w:r>
    </w:p>
    <w:p>
      <w:pPr>
        <w:numPr>
          <w:ilvl w:val="0"/>
          <w:numId w:val="1005"/>
        </w:numPr>
        <w:pStyle w:val="Compact"/>
      </w:pPr>
      <w:r>
        <w:t xml:space="preserve">Statistical Office of Berlin-Brandenburg.</w:t>
      </w:r>
    </w:p>
    <w:p>
      <w:pPr>
        <w:numPr>
          <w:ilvl w:val="0"/>
          <w:numId w:val="1005"/>
        </w:numPr>
        <w:pStyle w:val="Compact"/>
      </w:pPr>
      <w:r>
        <w:t xml:space="preserve">Journal of Pharmaceutical Policy and Practice: Case Studies in Urban Healthcare Delivery.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Pharmacist in Germany, Berlin</dc:title>
  <dc:creator/>
  <cp:keywords/>
  <dcterms:created xsi:type="dcterms:W3CDTF">2026-07-29T04:56:35Z</dcterms:created>
  <dcterms:modified xsi:type="dcterms:W3CDTF">2026-07-29T04:56:35Z</dcterms:modified>
</cp:coreProperties>
</file>

<file path=docProps/custom.xml><?xml version="1.0" encoding="utf-8"?>
<Properties xmlns="http://schemas.openxmlformats.org/officeDocument/2006/custom-properties" xmlns:vt="http://schemas.openxmlformats.org/officeDocument/2006/docPropsVTypes"/>
</file>