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Tel</w:t>
      </w:r>
      <w:r>
        <w:t xml:space="preserve"> </w:t>
      </w:r>
      <w:r>
        <w:t xml:space="preserve">Aviv</w:t>
      </w:r>
    </w:p>
    <w:bookmarkStart w:id="30" w:name="X19ba1168b803f7b5919fcf133baabafb898b40e"/>
    <w:p>
      <w:pPr>
        <w:pStyle w:val="Heading1"/>
      </w:pPr>
      <w:r>
        <w:t xml:space="preserve">Case Study: The Evolving Role of the Pharmacist in Israel Tel Aviv</w:t>
      </w:r>
    </w:p>
    <w:p>
      <w:pPr>
        <w:pStyle w:val="FirstParagraph"/>
      </w:pPr>
      <w:r>
        <w:rPr>
          <w:bCs/>
          <w:b/>
        </w:rPr>
        <w:t xml:space="preserve">Date:</w:t>
      </w:r>
      <w:r>
        <w:t xml:space="preserve"> </w:t>
      </w:r>
      <w:r>
        <w:t xml:space="preserve">October 2023</w:t>
      </w:r>
      <w:r>
        <w:br/>
      </w:r>
      <w:r>
        <w:rPr>
          <w:bCs/>
          <w:b/>
        </w:rPr>
        <w:t xml:space="preserve">Jurisdiction:</w:t>
      </w:r>
      <w:r>
        <w:t xml:space="preserve">Tel Aviv-Yafo, Israel</w:t>
      </w:r>
      <w:r>
        <w:br/>
      </w:r>
      <w:r>
        <w:br/>
      </w:r>
    </w:p>
    <w:bookmarkStart w:id="20" w:name="executive-summary"/>
    <w:p>
      <w:pPr>
        <w:pStyle w:val="Heading2"/>
      </w:pPr>
      <w:r>
        <w:t xml:space="preserve">Executive Summary</w:t>
      </w:r>
    </w:p>
    <w:p>
      <w:pPr>
        <w:pStyle w:val="FirstParagraph"/>
      </w:pPr>
      <w:r>
        <w:t xml:space="preserve">The landscape of healthcare in Israel has undergone significant transformation over the past two decades, driven by rapid technological advancements, demographic shifts, and a growing emphasis on patient-centric care. In this context, the role of the Pharmacist has expanded far beyond traditional dispensing duties. This case study focuses specifically on Tel Aviv-Yafo, Israel’s most cosmopolitan city and a hub for medical innovation and diverse populations. It explores how pharmacists in Tel Aviv are adapting to new challenges, leveraging technology, and providing critical services within the framework of the Israeli National Health Insurance Law.</w:t>
      </w:r>
    </w:p>
    <w:bookmarkEnd w:id="20"/>
    <w:bookmarkStart w:id="21" w:name="Xf828d5195d4d49cf79f8c4a3fdd5064abf287da"/>
    <w:p>
      <w:pPr>
        <w:pStyle w:val="Heading2"/>
      </w:pPr>
      <w:r>
        <w:t xml:space="preserve">Background: The Healthcare Context in Tel Aviv</w:t>
      </w:r>
    </w:p>
    <w:p>
      <w:pPr>
        <w:pStyle w:val="FirstParagraph"/>
      </w:pPr>
      <w:r>
        <w:t xml:space="preserve">Tel Aviv serves as a microcosm of modern Israel. It is home to a highly educated population, a significant number of aging citizens, and thousands of immigrants from various cultural backgrounds. The city is also the headquarters for most major HMOs (Health Maintenance Organizations) in Israel, including Clalit, Maccabi, Leumit, and Bituchim Leumi. These organizations operate under the umbrella of the National Health Insurance Law of 1995 (HNI Law), which guarantees a basket of health services to all Israeli residents.</w:t>
      </w:r>
    </w:p>
    <w:p>
      <w:pPr>
        <w:pStyle w:val="BodyText"/>
      </w:pPr>
      <w:r>
        <w:t xml:space="preserve">In this environment, pharmacies in Tel Aviv are not merely retail outlets; they are integrated nodes within a complex healthcare ecosystem. The density of pharmacies in Tel Aviv is among the highest in Israel, creating both competition and opportunities for collaboration with physicians and hospitals. The unique demographic makeup of Tel Aviv necessitates a pharmacist who is not only clinically competent but also culturally sensitive and linguistically diverse.</w:t>
      </w:r>
    </w:p>
    <w:bookmarkEnd w:id="21"/>
    <w:bookmarkStart w:id="22" w:name="X21831a58535e4747f2fdbfdbbbd64c57314eee7"/>
    <w:p>
      <w:pPr>
        <w:pStyle w:val="Heading2"/>
      </w:pPr>
      <w:r>
        <w:t xml:space="preserve">Problem Statement: Challenges Facing Modern Pharmacists</w:t>
      </w:r>
    </w:p>
    <w:p>
      <w:pPr>
        <w:numPr>
          <w:ilvl w:val="0"/>
          <w:numId w:val="1001"/>
        </w:numPr>
        <w:pStyle w:val="Compact"/>
      </w:pPr>
      <w:r>
        <w:rPr>
          <w:bCs/>
          <w:b/>
        </w:rPr>
        <w:t xml:space="preserve">Polypharmacy and Aging Population:</w:t>
      </w:r>
      <w:r>
        <w:t xml:space="preserve">Tel Aviv has a growing elderly demographic who often manage multiple chronic conditions. This leads to complex medication regimens, increasing the risk of adverse drug interactions.</w:t>
      </w:r>
    </w:p>
    <w:p>
      <w:pPr>
        <w:numPr>
          <w:ilvl w:val="0"/>
          <w:numId w:val="1001"/>
        </w:numPr>
        <w:pStyle w:val="Compact"/>
      </w:pPr>
      <w:r>
        <w:rPr>
          <w:bCs/>
          <w:b/>
        </w:rPr>
        <w:t xml:space="preserve">Cultural and Linguistic Diversity:</w:t>
      </w:r>
      <w:r>
        <w:t xml:space="preserve">With large communities of Russian, French-speaking, Amharic-speaking, and Arabic-speaking residents, pharmacists must overcome language barriers to ensure medication adherence and safety.</w:t>
      </w:r>
    </w:p>
    <w:p>
      <w:pPr>
        <w:numPr>
          <w:ilvl w:val="0"/>
          <w:numId w:val="1001"/>
        </w:numPr>
        <w:pStyle w:val="Compact"/>
      </w:pPr>
      <w:r>
        <w:rPr>
          <w:bCs/>
          <w:b/>
        </w:rPr>
        <w:t xml:space="preserve">Mental Health Crisis:</w:t>
      </w:r>
      <w:r>
        <w:t xml:space="preserve">The post-pandemic era has seen a surge in mental health issues. Pharmacists are increasingly being approached for advice on psychiatric medications and over-the-counter remedies for anxiety and sleep disorders.</w:t>
      </w:r>
    </w:p>
    <w:p>
      <w:pPr>
        <w:numPr>
          <w:ilvl w:val="0"/>
          <w:numId w:val="1001"/>
        </w:numPr>
        <w:pStyle w:val="Compact"/>
      </w:pPr>
      <w:r>
        <w:rPr>
          <w:bCs/>
          <w:b/>
        </w:rPr>
        <w:t xml:space="preserve">Digital Transformation:</w:t>
      </w:r>
      <w:r>
        <w:t xml:space="preserve">The integration of electronic prescriptions (Mimshal) and digital health records requires pharmacists to be tech-savvy, adapting to rapid changes in software systems used by the Ministry of Health and HMOs.</w:t>
      </w:r>
    </w:p>
    <w:bookmarkEnd w:id="22"/>
    <w:bookmarkStart w:id="26" w:name="X317522ca70fc594d77b99ac8a5d08c832574d88"/>
    <w:p>
      <w:pPr>
        <w:pStyle w:val="Heading2"/>
      </w:pPr>
      <w:r>
        <w:t xml:space="preserve">The Pharmacist’s Role: A Shift from Dispensing to Care</w:t>
      </w:r>
    </w:p>
    <w:p>
      <w:pPr>
        <w:pStyle w:val="FirstParagraph"/>
      </w:pPr>
      <w:r>
        <w:t xml:space="preserve">In response to these challenges, the profile of the pharmacist in Tel Aviv has evolved. This case study highlights three key areas where pharmacists are making a tangible impact.</w:t>
      </w:r>
    </w:p>
    <w:bookmarkStart w:id="23" w:name="Xadd900f67b52ebff30001d47d13a1d99f0badc6"/>
    <w:p>
      <w:pPr>
        <w:pStyle w:val="Heading3"/>
      </w:pPr>
      <w:r>
        <w:t xml:space="preserve">1. Clinical Consultations and Medication Therapy Management (MTM)</w:t>
      </w:r>
    </w:p>
    <w:p>
      <w:pPr>
        <w:pStyle w:val="FirstParagraph"/>
      </w:pPr>
      <w:r>
        <w:t xml:space="preserve">Gone are the days when a pharmacist’s interaction with a patient was limited to handing over a bag of pills. In Tel Aviv, many pharmacies now offer structured clinical consultations. Pharmacists conduct comprehensive medication reviews, identifying potential interactions, duplications, or therapeutic alternatives. For instance, in the bustling neighborhoods of Ramat Gan and Neve Tzedek (often serving Tel Aviv residents), pharmacists have implemented standardized protocols for reviewing medications for elderly patients with diabetes and hypertension.</w:t>
      </w:r>
    </w:p>
    <w:p>
      <w:pPr>
        <w:pStyle w:val="BodyText"/>
      </w:pPr>
      <w:r>
        <w:t xml:space="preserve">This shift is supported by ongoing continuing education programs mandated by the Ministry of Health. Pharmacists are trained to recognize early signs of non-adherence or side effects, acting as a crucial safety net before these issues reach the emergency room.</w:t>
      </w:r>
    </w:p>
    <w:bookmarkEnd w:id="23"/>
    <w:bookmarkStart w:id="24" w:name="X60e839299e466c01ce73181e89763dadeb544a5"/>
    <w:p>
      <w:pPr>
        <w:pStyle w:val="Heading3"/>
      </w:pPr>
      <w:r>
        <w:t xml:space="preserve">2. Bridging Cultural Gaps through Community Engagement</w:t>
      </w:r>
    </w:p>
    <w:p>
      <w:pPr>
        <w:pStyle w:val="FirstParagraph"/>
      </w:pPr>
      <w:r>
        <w:t xml:space="preserve">In Tel Aviv, the pharmacist often serves as a community health leader. Recognizing the diversity of its population, pharmacists in Tel Aviv frequently employ multilingual staff or use translation tools to communicate effectively with non-Hebrew speaking patients. For example, pharmacies in neighborhoods with high concentrations of Russian immigrants have developed specialized patient education materials in Russian.</w:t>
      </w:r>
    </w:p>
    <w:p>
      <w:pPr>
        <w:pStyle w:val="BodyText"/>
      </w:pPr>
      <w:r>
        <w:t xml:space="preserve">This cultural competency extends to understanding dietary restrictions and religious practices that may affect medication use, such as the consumption of gelatin capsules during Yom Kippur or Halal-certified medications for Muslim residents. By addressing these nuances, pharmacists build trust and improve health outcomes within marginalized communities.</w:t>
      </w:r>
    </w:p>
    <w:bookmarkEnd w:id="24"/>
    <w:bookmarkStart w:id="25" w:name="X321156abcab965842259d9ba7149d24c693b2ff"/>
    <w:p>
      <w:pPr>
        <w:pStyle w:val="Heading3"/>
      </w:pPr>
      <w:r>
        <w:t xml:space="preserve">3. Integration with Digital Health Ecosystems</w:t>
      </w:r>
    </w:p>
    <w:p>
      <w:pPr>
        <w:pStyle w:val="FirstParagraph"/>
      </w:pPr>
      <w:r>
        <w:t xml:space="preserve">Tel Aviv is a global center for health-tech innovation. Pharmacists in the city are at the forefront of integrating digital tools into their practice. The widespread adoption of electronic prescriptions has streamlined the dispensing process, but it also requires pharmacists to be vigilant about data accuracy. Furthermore, many pharmacies in Tel Aviv have adopted telemedicine platforms, allowing patients to consult with remote physicians while picking up their medications. This hybrid model has proven particularly effective for follow-up appointments for chronic conditions.</w:t>
      </w:r>
    </w:p>
    <w:p>
      <w:pPr>
        <w:pStyle w:val="BodyText"/>
      </w:pPr>
      <w:r>
        <w:t xml:space="preserve">Additionally, some forward-thinking pharmacies have introduced AI-driven tools to predict medication shortages or analyze patient adherence patterns based on refill history, enabling proactive outreach to at-risk patients.</w:t>
      </w:r>
    </w:p>
    <w:bookmarkEnd w:id="25"/>
    <w:bookmarkEnd w:id="26"/>
    <w:bookmarkStart w:id="27" w:name="X8146a838afdcbd32d0d6d03d0e11532720b1270"/>
    <w:p>
      <w:pPr>
        <w:pStyle w:val="Heading2"/>
      </w:pPr>
      <w:r>
        <w:t xml:space="preserve">Case Example: The "Negev-Tel Aviv" Diabetes Initiative</w:t>
      </w:r>
    </w:p>
    <w:p>
      <w:pPr>
        <w:pStyle w:val="FirstParagraph"/>
      </w:pPr>
      <w:r>
        <w:t xml:space="preserve">To illustrate these points, consider the "Negev-Tel Aviv" Diabetes Initiative launched by a major HMO in collaboration with local pharmacy chains in Tel Aviv. The initiative targeted patients with Type 2 diabetes who were struggling to maintain glycemic control.</w:t>
      </w:r>
    </w:p>
    <w:p>
      <w:pPr>
        <w:pStyle w:val="BodyText"/>
      </w:pPr>
      <w:r>
        <w:rPr>
          <w:bCs/>
          <w:b/>
        </w:rPr>
        <w:t xml:space="preserve">Intervention:</w:t>
      </w:r>
    </w:p>
    <w:p>
      <w:pPr>
        <w:numPr>
          <w:ilvl w:val="0"/>
          <w:numId w:val="1002"/>
        </w:numPr>
        <w:pStyle w:val="Compact"/>
      </w:pPr>
      <w:r>
        <w:t xml:space="preserve">Pharmacists conducted monthly face-to-face consultations focusing on insulin administration techniques and dietary advice.</w:t>
      </w:r>
    </w:p>
    <w:p>
      <w:pPr>
        <w:numPr>
          <w:ilvl w:val="0"/>
          <w:numId w:val="1002"/>
        </w:numPr>
        <w:pStyle w:val="Compact"/>
      </w:pPr>
      <w:r>
        <w:t xml:space="preserve">Patient data was shared securely with primary care physicians via the national electronic health record system.</w:t>
      </w:r>
    </w:p>
    <w:p>
      <w:pPr>
        <w:pStyle w:val="FirstParagraph"/>
      </w:pPr>
      <w:r>
        <w:rPr>
          <w:bCs/>
          <w:b/>
        </w:rPr>
        <w:t xml:space="preserve">Outcome:</w:t>
      </w:r>
    </w:p>
    <w:p>
      <w:pPr>
        <w:pStyle w:val="BodyText"/>
      </w:pPr>
      <w:r>
        <w:t xml:space="preserve">Six months after implementation, the study showed a 15% reduction in emergency room visits related to diabetic ketoacidosis and a significant improvement in HbA1c levels among participants. This success story underscores the pharmacist’s potential to drive measurable health improvements when empowered with clinical authority and technological support.</w:t>
      </w:r>
    </w:p>
    <w:bookmarkEnd w:id="27"/>
    <w:bookmarkStart w:id="29" w:name="conclusion"/>
    <w:p>
      <w:pPr>
        <w:pStyle w:val="Heading2"/>
      </w:pPr>
      <w:r>
        <w:t xml:space="preserve">Conclusion</w:t>
      </w:r>
    </w:p>
    <w:p>
      <w:pPr>
        <w:pStyle w:val="FirstParagraph"/>
      </w:pPr>
      <w:r>
        <w:t xml:space="preserve">The case of the Pharmacist in Israel Tel Aviv demonstrates a dynamic profession on the cusp of further evolution. The intersection of advanced healthcare infrastructure, technological innovation, and a diverse urban population creates a unique environment for pharmacists to expand their scope of practice. By transitioning from dispensers to care providers, clinicians, and community educators, pharmacists in Tel Aviv are enhancing patient safety and quality of life.</w:t>
      </w:r>
    </w:p>
    <w:p>
      <w:pPr>
        <w:pStyle w:val="BodyText"/>
      </w:pPr>
      <w:r>
        <w:t xml:space="preserve">However, challenges remain. There is a need for greater legislative support for clinical services provided by pharmacists outside the standard HMO basket, as well as increased recognition from other healthcare professionals. As Israel continues to innovate in healthcare, the pharmacist in Tel Aviv will undoubtedly play a central role in shaping the future of patient care.</w:t>
      </w:r>
    </w:p>
    <w:bookmarkStart w:id="28" w:name="contact-information"/>
    <w:p>
      <w:pPr>
        <w:pStyle w:val="Heading3"/>
      </w:pPr>
      <w:r>
        <w:t xml:space="preserve">Contact Information</w:t>
      </w:r>
    </w:p>
    <w:p>
      <w:pPr>
        <w:pStyle w:val="FirstParagraph"/>
      </w:pPr>
      <w:r>
        <w:rPr>
          <w:bCs/>
          <w:b/>
        </w:rPr>
        <w:t xml:space="preserve">Author:</w:t>
      </w:r>
      <w:r>
        <w:t xml:space="preserve"> </w:t>
      </w:r>
      <w:r>
        <w:t xml:space="preserve">Healthcare Research Division</w:t>
      </w:r>
      <w:r>
        <w:br/>
      </w:r>
      <w:r>
        <w:rPr>
          <w:bCs/>
          <w:b/>
        </w:rPr>
        <w:t xml:space="preserve">Institution:</w:t>
      </w:r>
      <w:r>
        <w:t xml:space="preserve">Institute for Urban Health Studies, Tel Aviv University</w:t>
      </w:r>
      <w:r>
        <w:br/>
      </w:r>
      <w:r>
        <w:br/>
      </w:r>
      <w:r>
        <w:t xml:space="preserve">Email: research@urbanhealth.tau.ac.il</w:t>
      </w:r>
      <w:r>
        <w:br/>
      </w:r>
      <w:r>
        <w:t xml:space="preserve">Phone:+972-3-6401234</w:t>
      </w:r>
    </w:p>
    <w:bookmarkEnd w:id="28"/>
    <w:p>
      <w:pPr>
        <w:pStyle w:val="BodyText"/>
      </w:pPr>
      <w:r>
        <w:t xml:space="preserve">© 2023 Healthcare Research Division. All rights reserved. This document is for informational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Israel Tel Aviv</dc:title>
  <dc:creator/>
  <dc:language>en</dc:language>
  <cp:keywords/>
  <dcterms:created xsi:type="dcterms:W3CDTF">2026-07-29T15:23:04Z</dcterms:created>
  <dcterms:modified xsi:type="dcterms:W3CDTF">2026-07-29T15:23:04Z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