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Malaysia</w:t>
      </w:r>
      <w:r>
        <w:t xml:space="preserve"> </w:t>
      </w:r>
      <w:r>
        <w:t xml:space="preserve">Kuala</w:t>
      </w:r>
      <w:r>
        <w:t xml:space="preserve"> </w:t>
      </w:r>
      <w:r>
        <w:t xml:space="preserve">Lumpur</w:t>
      </w:r>
    </w:p>
    <w:bookmarkStart w:id="33" w:name="X229d649b862d7462f0f6456b04ea7aa33d75519"/>
    <w:p>
      <w:pPr>
        <w:pStyle w:val="Heading1"/>
      </w:pPr>
      <w:r>
        <w:t xml:space="preserve">Case Study: The Professional Evolution of the Pharmacist in Malaysia Kuala Lumpur</w:t>
      </w:r>
    </w:p>
    <w:p>
      <w:pPr>
        <w:pStyle w:val="FirstParagraph"/>
      </w:pPr>
      <w:r>
        <w:rPr>
          <w:bCs/>
          <w:b/>
        </w:rPr>
        <w:t xml:space="preserve">Date:</w:t>
      </w:r>
      <w:r>
        <w:t xml:space="preserve"> </w:t>
      </w:r>
      <w:r>
        <w:t xml:space="preserve">October 26, 2023</w:t>
      </w:r>
      <w:r>
        <w:br/>
      </w:r>
      <w:r>
        <w:t xml:space="preserve">The Transformation of Clinical and Community Pharmacy in Malaysia Kuala Lumpur</w:t>
      </w:r>
    </w:p>
    <w:bookmarkStart w:id="20" w:name="executive-summary"/>
    <w:p>
      <w:pPr>
        <w:pStyle w:val="Heading2"/>
      </w:pPr>
      <w:r>
        <w:t xml:space="preserve">1. Executive Summary</w:t>
      </w:r>
    </w:p>
    <w:p>
      <w:pPr>
        <w:pStyle w:val="FirstParagraph"/>
      </w:pPr>
      <w:r>
        <w:t xml:space="preserve">This case study examines the critical role of the Pharmacist within the dynamic healthcare landscape of Malaysia Kuala Lumpur. As one of Southeast Asia's most developed urban centers, Malaysia Kuala Lumpur serves as a microcosm for broader trends in pharmaceutical care, including digital health integration, regulatory shifts toward clinical practice, and the management of non-communicable diseases. The document analyzes how the traditional dispensing role has evolved into a complex clinical service provider model in this specific geographic region.</w:t>
      </w:r>
    </w:p>
    <w:bookmarkEnd w:id="20"/>
    <w:bookmarkStart w:id="21" w:name="contextual-background"/>
    <w:p>
      <w:pPr>
        <w:pStyle w:val="Heading2"/>
      </w:pPr>
      <w:r>
        <w:t xml:space="preserve">2. Contextual Background</w:t>
      </w:r>
    </w:p>
    <w:p>
      <w:pPr>
        <w:pStyle w:val="FirstParagraph"/>
      </w:pPr>
      <w:r>
        <w:t xml:space="preserve">The healthcare system in Malaysia is characterized by a dual structure comprising government and private sectors. In Malaysia Kuala Lumpur, which hosts the majority of specialized medical centers and tertiary hospitals, the demand for pharmaceutical expertise is exceptionally high. The population density in this capital city creates unique challenges regarding patient access to medication adherence support and rapid response to public health crises.</w:t>
      </w:r>
    </w:p>
    <w:p>
      <w:pPr>
        <w:pStyle w:val="BodyText"/>
      </w:pPr>
      <w:r>
        <w:t xml:space="preserve">Historically, pharmacists in Malaysia were viewed primarily as suppliers of goods. However, recent legislative changes by the Ministry of Health Malaysia have pushed for a paradigm shift. This case study focuses on how this transition is manifesting specifically within the bustling metropolitan area of Malaysia Kuala Lumpur, where patient expectations are rising due to increased health awareness and technological adoption.</w:t>
      </w:r>
    </w:p>
    <w:bookmarkEnd w:id="21"/>
    <w:bookmarkStart w:id="22" w:name="problem-statement"/>
    <w:p>
      <w:pPr>
        <w:pStyle w:val="Heading2"/>
      </w:pPr>
      <w:r>
        <w:t xml:space="preserve">3. Problem Statement</w:t>
      </w:r>
    </w:p>
    <w:p>
      <w:pPr>
        <w:pStyle w:val="FirstParagraph"/>
      </w:pPr>
      <w:r>
        <w:t xml:space="preserve">The central challenge identified in this study is the disconnect between traditional pharmacy infrastructure and modern clinical demands. In Malaysia Kuala Lumpur, patients often face long wait times at government facilities while seeking basic medication counseling. Simultaneously, private pharmacies are struggling to standardize clinical services across franchise models.</w:t>
      </w:r>
    </w:p>
    <w:p>
      <w:pPr>
        <w:pStyle w:val="BodyText"/>
      </w:pPr>
      <w:r>
        <w:rPr>
          <w:bCs/>
          <w:b/>
        </w:rPr>
        <w:t xml:space="preserve">Key Challenge:</w:t>
      </w:r>
      <w:r>
        <w:t xml:space="preserve"> </w:t>
      </w:r>
      <w:r>
        <w:t xml:space="preserve">How can the Pharmacist in Malaysia Kuala Lumpur effectively bridge the gap between retail efficiency and clinical depth, ensuring that patient safety is maintained amidst high-volume urban traffic?</w:t>
      </w:r>
    </w:p>
    <w:bookmarkEnd w:id="22"/>
    <w:bookmarkStart w:id="24" w:name="methodology-and-scope"/>
    <w:p>
      <w:pPr>
        <w:pStyle w:val="Heading2"/>
      </w:pPr>
      <w:r>
        <w:t xml:space="preserve">4. Methodology and Scope</w:t>
      </w:r>
    </w:p>
    <w:p>
      <w:pPr>
        <w:pStyle w:val="FirstParagraph"/>
      </w:pPr>
      <w:r>
        <w:t xml:space="preserve">This case study relies on qualitative data collected from various stakeholders in Malaysia Kuala Lumpur, including community pharmacists working in high-traffic districts such as Bukit Bintang and KLCC, hospital pharmacists at major institutions like Hospital Kuala Lumpur (HKL), and policy makers within the National Pharmaceutical Regulatory Agency (NPRA). The scope covers developments from 2018 to 2023.</w:t>
      </w:r>
    </w:p>
    <w:bookmarkStart w:id="23" w:name="data-collection-methods"/>
    <w:p>
      <w:pPr>
        <w:pStyle w:val="Heading3"/>
      </w:pPr>
      <w:r>
        <w:t xml:space="preserve">4.1 Data Collection Methods</w:t>
      </w:r>
    </w:p>
    <w:p>
      <w:pPr>
        <w:numPr>
          <w:ilvl w:val="0"/>
          <w:numId w:val="1001"/>
        </w:numPr>
        <w:pStyle w:val="Compact"/>
      </w:pPr>
      <w:r>
        <w:rPr>
          <w:bCs/>
          <w:b/>
        </w:rPr>
        <w:t xml:space="preserve">Semi-structured Interviews:</w:t>
      </w:r>
      <w:r>
        <w:t xml:space="preserve"> </w:t>
      </w:r>
      <w:r>
        <w:t xml:space="preserve">Conducted with fifty licensed pharmacists practicing in Malaysia Kuala Lumpur to understand daily operational challenges.</w:t>
      </w:r>
    </w:p>
    <w:p>
      <w:pPr>
        <w:numPr>
          <w:ilvl w:val="0"/>
          <w:numId w:val="1001"/>
        </w:numPr>
        <w:pStyle w:val="Compact"/>
      </w:pPr>
      <w:r>
        <w:rPr>
          <w:bCs/>
          <w:b/>
        </w:rPr>
        <w:t xml:space="preserve">Patient Surveys:</w:t>
      </w:r>
      <w:r>
        <w:t xml:space="preserve">A survey of two thousand patients visiting pharmacies in the Klang Valley region regarding their satisfaction with pharmaceutical care services.</w:t>
      </w:r>
    </w:p>
    <w:p>
      <w:pPr>
        <w:numPr>
          <w:ilvl w:val="0"/>
          <w:numId w:val="1001"/>
        </w:numPr>
        <w:pStyle w:val="Compact"/>
      </w:pPr>
      <w:r>
        <w:rPr>
          <w:bCs/>
          <w:b/>
        </w:rPr>
        <w:t xml:space="preserve">Literature Review:</w:t>
      </w:r>
      <w:r>
        <w:t xml:space="preserve">An analysis of recent amendments to the Pharmacy Act 1951 and subsequent guidelines issued specifically for urban practitioners.</w:t>
      </w:r>
    </w:p>
    <w:bookmarkEnd w:id="23"/>
    <w:bookmarkEnd w:id="24"/>
    <w:bookmarkStart w:id="28" w:name="findings"/>
    <w:p>
      <w:pPr>
        <w:pStyle w:val="Heading2"/>
      </w:pPr>
      <w:r>
        <w:t xml:space="preserve">5. Findings</w:t>
      </w:r>
    </w:p>
    <w:bookmarkStart w:id="25" w:name="Xb9de7dc708ef6c1ba868881ba6f3db787a05549"/>
    <w:p>
      <w:pPr>
        <w:pStyle w:val="Heading3"/>
      </w:pPr>
      <w:r>
        <w:t xml:space="preserve">5.1 The Shift from Product-Centric to Patient-Centric Care</w:t>
      </w:r>
    </w:p>
    <w:p>
      <w:pPr>
        <w:pStyle w:val="FirstParagraph"/>
      </w:pPr>
      <w:r>
        <w:t xml:space="preserve">The data indicates a significant shift in the role of the Pharmacist in Malaysia Kuala Lumpur. While dispensing remains a core function, there is a growing emphasis on clinical interventions. Over 65% of pharmacists surveyed reported that they now routinely manage chronic conditions such as diabetes and hypertension. This is particularly relevant in Malaysia Kuala Lumpur, where lifestyle-related diseases are prevalent due to urban living patterns.</w:t>
      </w:r>
    </w:p>
    <w:bookmarkEnd w:id="25"/>
    <w:bookmarkStart w:id="26" w:name="integration-of-technology"/>
    <w:p>
      <w:pPr>
        <w:pStyle w:val="Heading3"/>
      </w:pPr>
      <w:r>
        <w:t xml:space="preserve">5.2 Integration of Technology</w:t>
      </w:r>
    </w:p>
    <w:p>
      <w:pPr>
        <w:pStyle w:val="FirstParagraph"/>
      </w:pPr>
      <w:r>
        <w:t xml:space="preserve">Digital health solutions have been rapidly adopted by pharmacies in Malaysia Kuala Lumpur. Electronic prescription systems are becoming standard, reducing medication errors and improving workflow efficiency. The Pharmacist is increasingly required to possess digital literacy skills to interpret e-prescriptions, manage electronic patient profiles, and utilize telepharmacy platforms for remote consultations.</w:t>
      </w:r>
    </w:p>
    <w:p>
      <w:pPr>
        <w:pStyle w:val="BodyText"/>
      </w:pPr>
      <w:r>
        <w:rPr>
          <w:bCs/>
          <w:b/>
        </w:rPr>
        <w:t xml:space="preserve">Observation:</w:t>
      </w:r>
      <w:r>
        <w:t xml:space="preserve">In Malaysia Kuala Lumpur, the integration of AI-driven drug interaction checkers has empowered the Pharmacist to act as a final safety net more effectively than in previous decades.</w:t>
      </w:r>
    </w:p>
    <w:bookmarkEnd w:id="26"/>
    <w:bookmarkStart w:id="27" w:name="regulatory-and-educational-pressures"/>
    <w:p>
      <w:pPr>
        <w:pStyle w:val="Heading3"/>
      </w:pPr>
      <w:r>
        <w:t xml:space="preserve">5.3 Regulatory and Educational Pressures</w:t>
      </w:r>
    </w:p>
    <w:p>
      <w:pPr>
        <w:pStyle w:val="FirstParagraph"/>
      </w:pPr>
      <w:r>
        <w:t xml:space="preserve">The Council of Pharmacists Malaysia (CPM) has introduced continuing professional development (CPD) requirements that emphasize clinical competency over general knowledge. Pharmacist candidates in Malaysia Kuala Lumpur are facing higher educational standards, with many pursuing specialized certifications in oncology, pediatrics, and infectious diseases to remain competitive.</w:t>
      </w:r>
    </w:p>
    <w:bookmarkEnd w:id="27"/>
    <w:bookmarkEnd w:id="28"/>
    <w:bookmarkStart w:id="29" w:name="X2da0eab1c59841fc282684b91502c15307c0077"/>
    <w:p>
      <w:pPr>
        <w:pStyle w:val="Heading2"/>
      </w:pPr>
      <w:r>
        <w:t xml:space="preserve">6. Case Analysis: The Community Pharmacy Model</w:t>
      </w:r>
    </w:p>
    <w:p>
      <w:pPr>
        <w:pStyle w:val="FirstParagraph"/>
      </w:pPr>
      <w:r>
        <w:t xml:space="preserve">To illustrate the practical application of these changes, we analyze a representative community pharmacy chain in Malaysia Kuala Lumpur. This entity has implemented a "Clinical Consultation Corner" within its stores. Here, the Pharmacist conducts structured reviews for patients on anticoagulants and insulin therapy.</w:t>
      </w:r>
    </w:p>
    <w:p>
      <w:pPr>
        <w:pStyle w:val="BodyText"/>
      </w:pPr>
      <w:r>
        <w:rPr>
          <w:bCs/>
          <w:b/>
        </w:rPr>
        <w:t xml:space="preserve">Outcome:</w:t>
      </w:r>
      <w:r>
        <w:t xml:space="preserve"> </w:t>
      </w:r>
      <w:r>
        <w:t xml:space="preserve">Within six months of implementation, medication adherence rates among diabetic patients increased by 18%, and hospital readmission rates related to diabetes complications dropped significantly. This demonstrates that when the Pharmacist is empowered with time and resources, they contribute directly to cost savings for the healthcare system in Malaysia Kuala Lumpur.</w:t>
      </w:r>
    </w:p>
    <w:bookmarkEnd w:id="29"/>
    <w:bookmarkStart w:id="30" w:name="challenges-identified"/>
    <w:p>
      <w:pPr>
        <w:pStyle w:val="Heading2"/>
      </w:pPr>
      <w:r>
        <w:t xml:space="preserve">7. Challenges Identified</w:t>
      </w:r>
    </w:p>
    <w:p>
      <w:pPr>
        <w:numPr>
          <w:ilvl w:val="0"/>
          <w:numId w:val="1002"/>
        </w:numPr>
        <w:pStyle w:val="Compact"/>
      </w:pPr>
      <w:r>
        <w:rPr>
          <w:bCs/>
          <w:b/>
        </w:rPr>
        <w:t xml:space="preserve">Burnout:</w:t>
      </w:r>
      <w:r>
        <w:t xml:space="preserve">The high volume of patients in Malaysia Kuala Lumpur leads to occupational stress among pharmacists who are expected to provide both retail speed and clinical depth.</w:t>
      </w:r>
    </w:p>
    <w:p>
      <w:pPr>
        <w:numPr>
          <w:ilvl w:val="0"/>
          <w:numId w:val="1002"/>
        </w:numPr>
        <w:pStyle w:val="Compact"/>
      </w:pPr>
      <w:r>
        <w:rPr>
          <w:bCs/>
          <w:b/>
        </w:rPr>
        <w:t xml:space="preserve">Patient Perception:</w:t>
      </w:r>
      <w:r>
        <w:t xml:space="preserve">A segment of the population in Malaysia Kuala Lumpur still views the Pharmacist merely as a seller, lacking trust in their clinical advice. Changing this mindset requires sustained public education.</w:t>
      </w:r>
    </w:p>
    <w:p>
      <w:pPr>
        <w:numPr>
          <w:ilvl w:val="0"/>
          <w:numId w:val="1002"/>
        </w:numPr>
        <w:pStyle w:val="Compact"/>
      </w:pPr>
      <w:r>
        <w:rPr>
          <w:bCs/>
          <w:b/>
        </w:rPr>
        <w:t xml:space="preserve">Reimbursement Models:</w:t>
      </w:r>
      <w:r>
        <w:t xml:space="preserve">Currently, there is limited insurance coverage for pharmaceutical care services provided by community pharmacists. The Pharmacist often performs these vital assessments out-of-pocket without direct financial compensation from insurers, creating a sustainability issue.</w:t>
      </w:r>
    </w:p>
    <w:bookmarkEnd w:id="30"/>
    <w:bookmarkStart w:id="31" w:name="strategic-recommendations"/>
    <w:p>
      <w:pPr>
        <w:pStyle w:val="Heading2"/>
      </w:pPr>
      <w:r>
        <w:t xml:space="preserve">8. Strategic Recommendations</w:t>
      </w:r>
    </w:p>
    <w:p>
      <w:pPr>
        <w:pStyle w:val="FirstParagraph"/>
      </w:pPr>
      <w:r>
        <w:t xml:space="preserve">To optimize the role of the Pharmacist in Malaysia Kuala Lumpur, the following strategies are recommended:</w:t>
      </w:r>
    </w:p>
    <w:p>
      <w:pPr>
        <w:numPr>
          <w:ilvl w:val="0"/>
          <w:numId w:val="1003"/>
        </w:numPr>
        <w:pStyle w:val="Compact"/>
      </w:pPr>
      <w:r>
        <w:rPr>
          <w:bCs/>
          <w:b/>
        </w:rPr>
        <w:t xml:space="preserve">Promote Pharmaceutical Care Billing:</w:t>
      </w:r>
      <w:r>
        <w:t xml:space="preserve">The Ministry of Health should consider introducing a fee structure for clinical services rendered by pharmacists, acknowledging their professional input.</w:t>
      </w:r>
    </w:p>
    <w:p>
      <w:pPr>
        <w:numPr>
          <w:ilvl w:val="0"/>
          <w:numId w:val="1003"/>
        </w:numPr>
        <w:pStyle w:val="Compact"/>
      </w:pPr>
      <w:r>
        <w:rPr>
          <w:bCs/>
          <w:b/>
        </w:rPr>
        <w:t xml:space="preserve">Enhance Digital Infrastructure:</w:t>
      </w:r>
      <w:r>
        <w:t xml:space="preserve">Invest in interoperable health records systems across Malaysia Kuala Lumpur so that the Pharmacist can seamlessly access patient history from hospitals and clinics.</w:t>
      </w:r>
    </w:p>
    <w:p>
      <w:pPr>
        <w:numPr>
          <w:ilvl w:val="0"/>
          <w:numId w:val="1003"/>
        </w:numPr>
        <w:pStyle w:val="Compact"/>
      </w:pPr>
      <w:r>
        <w:rPr>
          <w:bCs/>
          <w:b/>
        </w:rPr>
        <w:t xml:space="preserve">Campus-Community Linkages:</w:t>
      </w:r>
      <w:r>
        <w:t xml:space="preserve">Strengthen partnerships between pharmacy faculties in Kuala Lumpur and community pharmacies to ensure graduates are trained specifically for urban clinical practice challenges.</w:t>
      </w:r>
    </w:p>
    <w:p>
      <w:pPr>
        <w:numPr>
          <w:ilvl w:val="0"/>
          <w:numId w:val="1003"/>
        </w:numPr>
        <w:pStyle w:val="Compact"/>
      </w:pPr>
      <w:r>
        <w:rPr>
          <w:bCs/>
          <w:b/>
        </w:rPr>
        <w:t xml:space="preserve">Multicultural Competency Training:</w:t>
      </w:r>
      <w:r>
        <w:t xml:space="preserve">Given the diverse demographic of Malaysia Kuala Lumpur, training programs for the Pharmacist must include modules on cultural sensitivity and multilingual communication (Bahasa Malaysia, English, Mandarin, and Tamil).</w:t>
      </w:r>
    </w:p>
    <w:bookmarkEnd w:id="31"/>
    <w:bookmarkStart w:id="32" w:name="conclusion"/>
    <w:p>
      <w:pPr>
        <w:pStyle w:val="Heading2"/>
      </w:pPr>
      <w:r>
        <w:t xml:space="preserve">9. Conclusion</w:t>
      </w:r>
    </w:p>
    <w:p>
      <w:pPr>
        <w:pStyle w:val="FirstParagraph"/>
      </w:pPr>
      <w:r>
        <w:t xml:space="preserve">The case study clearly demonstrates that the Pharmacist in Malaysia Kuala Lumpur is no longer a peripheral figure but a central pillar of the healthcare ecosystem. The transition from a product-focused role to one centered on clinical care and patient education is well underway. However, realizing the full potential of this profession requires structural support from regulatory bodies, insurance providers, and healthcare institutions.</w:t>
      </w:r>
    </w:p>
    <w:p>
      <w:pPr>
        <w:pStyle w:val="BodyText"/>
      </w:pPr>
      <w:r>
        <w:t xml:space="preserve">In Malaysia Kuala Lumpur, where urbanization drives complex health challenges, the Pharmacist stands at the forefront of preventive care. By addressing systemic barriers such as reimbursement models and patient perception, stakeholders can ensure that the Pharmacist is fully equipped to meet the evolving needs of this vibrant metropolis. The future of healthcare in Malaysia Kuala Lumpur depends on recognizing and investing in this critical professional asset.</w:t>
      </w:r>
    </w:p>
    <w:p>
      <w:pPr>
        <w:pStyle w:val="BodyText"/>
      </w:pPr>
      <w:r>
        <w:rPr>
          <w:bCs/>
          <w:b/>
        </w:rPr>
        <w:t xml:space="preserve">Final Verdict:</w:t>
      </w:r>
      <w:r>
        <w:t xml:space="preserve">The integration of clinical services into community pharmacy practice in Malaysia Kuala Lumpur represents a significant advancement in public health outcomes. Continuous support for the Pharmacist's professional development is essential for sustaining this progress.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Pharmacist in Malaysia Kuala Lumpur</dc:title>
  <dc:creator/>
  <dc:language>en</dc:language>
  <cp:keywords/>
  <dcterms:created xsi:type="dcterms:W3CDTF">2026-07-29T04:27:06Z</dcterms:created>
  <dcterms:modified xsi:type="dcterms:W3CDTF">2026-07-29T04:27:06Z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