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New</w:t>
      </w:r>
      <w:r>
        <w:t xml:space="preserve"> </w:t>
      </w:r>
      <w:r>
        <w:t xml:space="preserve">Zealand</w:t>
      </w:r>
      <w:r>
        <w:t xml:space="preserve"> </w:t>
      </w:r>
      <w:r>
        <w:t xml:space="preserve">Auckland</w:t>
      </w:r>
    </w:p>
    <w:bookmarkStart w:id="34" w:name="X40ccbd037a56755fa90323dbce23035d846d6eb"/>
    <w:p>
      <w:pPr>
        <w:pStyle w:val="Heading1"/>
      </w:pPr>
      <w:r>
        <w:t xml:space="preserve">Case Study: The Strategic Integration of the Pharmacist in the Healthcare Ecosystem of New Zealand Auckland</w:t>
      </w:r>
    </w:p>
    <w:p>
      <w:pPr>
        <w:pStyle w:val="FirstParagraph"/>
      </w:pPr>
      <w:r>
        <w:rPr>
          <w:bCs/>
          <w:b/>
        </w:rPr>
        <w:t xml:space="preserve">Date:</w:t>
      </w:r>
      <w:r>
        <w:t xml:space="preserve"> </w:t>
      </w:r>
      <w:r>
        <w:t xml:space="preserve">October 2023</w:t>
      </w:r>
      <w:r>
        <w:br/>
      </w:r>
      <w:r>
        <w:rPr>
          <w:bCs/>
          <w:b/>
        </w:rPr>
        <w:t xml:space="preserve">Coverage Area:</w:t>
      </w:r>
      <w:r>
        <w:t xml:space="preserve">New Zealand Auckland</w:t>
      </w:r>
    </w:p>
    <w:bookmarkStart w:id="20" w:name="executive-summary"/>
    <w:p>
      <w:pPr>
        <w:pStyle w:val="Heading2"/>
      </w:pPr>
      <w:r>
        <w:t xml:space="preserve">1. Executive Summary</w:t>
      </w:r>
    </w:p>
    <w:p>
      <w:pPr>
        <w:pStyle w:val="FirstParagraph"/>
      </w:pPr>
      <w:r>
        <w:t xml:space="preserve">This case study examines the transformative role of the</w:t>
      </w:r>
      <w:r>
        <w:t xml:space="preserve"> </w:t>
      </w:r>
      <w:r>
        <w:t xml:space="preserve">Pharmacist</w:t>
      </w:r>
      <w:r>
        <w:t xml:space="preserve"> </w:t>
      </w:r>
      <w:r>
        <w:t xml:space="preserve">within the unique healthcare landscape of</w:t>
      </w:r>
      <w:r>
        <w:t xml:space="preserve"> </w:t>
      </w:r>
      <w:r>
        <w:t xml:space="preserve">New Zealand Auckland</w:t>
      </w:r>
      <w:r>
        <w:t xml:space="preserve">. As a rapidly growing metropolitan hub, Auckland faces distinct challenges related to demographic diversity, accessibility to primary care, and the rising prevalence of chronic diseases. This document analyzes how community pharmacies in</w:t>
      </w:r>
      <w:r>
        <w:t xml:space="preserve"> </w:t>
      </w:r>
      <w:r>
        <w:rPr>
          <w:bCs/>
          <w:b/>
        </w:rPr>
        <w:t xml:space="preserve">Auckland</w:t>
      </w:r>
      <w:r>
        <w:t xml:space="preserve"> </w:t>
      </w:r>
      <w:r>
        <w:t xml:space="preserve">are evolving from traditional dispensing centers into dynamic health clinics. By leveraging government funding models such as the Prescription Medicines Counters Assistance (PMCA) scheme and expanding clinical services, pharmacists in</w:t>
      </w:r>
      <w:r>
        <w:t xml:space="preserve"> </w:t>
      </w:r>
      <w:r>
        <w:rPr>
          <w:bCs/>
          <w:b/>
        </w:rPr>
        <w:t xml:space="preserve">New Zealand Auckland</w:t>
      </w:r>
      <w:r>
        <w:t xml:space="preserve"> </w:t>
      </w:r>
      <w:r>
        <w:t xml:space="preserve">are becoming indispensable partners to General Practitioners (GPs) and hospital systems. This study highlights operational successes, regulatory adaptations, and patient outcomes driven by this shift.</w:t>
      </w:r>
    </w:p>
    <w:bookmarkEnd w:id="20"/>
    <w:bookmarkStart w:id="21" w:name="X80063e9ecbb5f1522a309ff071909a3bed2f9d6"/>
    <w:p>
      <w:pPr>
        <w:pStyle w:val="Heading2"/>
      </w:pPr>
      <w:r>
        <w:t xml:space="preserve">2. Background: The Context of Healthcare in New Zealand Auckland</w:t>
      </w:r>
    </w:p>
    <w:p>
      <w:pPr>
        <w:pStyle w:val="FirstParagraph"/>
      </w:pPr>
      <w:r>
        <w:rPr>
          <w:bCs/>
          <w:b/>
        </w:rPr>
        <w:t xml:space="preserve">New Zealand Auckland</w:t>
      </w:r>
      <w:r>
        <w:t xml:space="preserve">, located within the North Island of</w:t>
      </w:r>
      <w:r>
        <w:t xml:space="preserve"> </w:t>
      </w:r>
      <w:r>
        <w:rPr>
          <w:bCs/>
          <w:b/>
        </w:rPr>
        <w:t xml:space="preserve">New Zealand</w:t>
      </w:r>
      <w:r>
        <w:t xml:space="preserve">, is the country’s most populous urban center. With a diverse population comprising significant Māori, Pasifika, and Asian communities, healthcare delivery in</w:t>
      </w:r>
      <w:r>
        <w:t xml:space="preserve"> </w:t>
      </w:r>
      <w:r>
        <w:rPr>
          <w:bCs/>
          <w:b/>
        </w:rPr>
        <w:t xml:space="preserve">Auckland</w:t>
      </w:r>
      <w:r>
        <w:t xml:space="preserve"> </w:t>
      </w:r>
      <w:r>
        <w:t xml:space="preserve">requires culturally competent and accessible services. Historically, access to GP services has been strained by long wait times and geographic disparities across the large city area. This gap created an opportunity for community pharmacies to step forward.</w:t>
      </w:r>
    </w:p>
    <w:p>
      <w:pPr>
        <w:pStyle w:val="BodyText"/>
      </w:pPr>
      <w:r>
        <w:t xml:space="preserve">In this context, the</w:t>
      </w:r>
      <w:r>
        <w:t xml:space="preserve"> </w:t>
      </w:r>
      <w:r>
        <w:t xml:space="preserve">Pharmacist</w:t>
      </w:r>
      <w:r>
        <w:t xml:space="preserve"> </w:t>
      </w:r>
      <w:r>
        <w:t xml:space="preserve">is no longer viewed merely as a dispenser of medication but as an accessible primary healthcare professional. The proximity of pharmacies across</w:t>
      </w:r>
      <w:r>
        <w:t xml:space="preserve"> </w:t>
      </w:r>
      <w:r>
        <w:rPr>
          <w:bCs/>
          <w:b/>
        </w:rPr>
        <w:t xml:space="preserve">New Zealand Auckland</w:t>
      </w:r>
      <w:r>
        <w:t xml:space="preserve">—often within walking distance for most residents—makes them ideal nodes for health promotion, disease screening, and chronic disease management. The regulatory environment in</w:t>
      </w:r>
      <w:r>
        <w:t xml:space="preserve"> </w:t>
      </w:r>
      <w:r>
        <w:rPr>
          <w:bCs/>
          <w:b/>
        </w:rPr>
        <w:t xml:space="preserve">New Zealand</w:t>
      </w:r>
      <w:r>
        <w:t xml:space="preserve">, governed by the Pharmaceutical Society of Australia (NZ branch) and the Ministry of Health, has progressively expanded the scope of practice for pharmacists to address these local needs.</w:t>
      </w:r>
    </w:p>
    <w:bookmarkEnd w:id="21"/>
    <w:bookmarkStart w:id="24" w:name="X01bb2b473ef8ca394af8dac181564b922d6cb04"/>
    <w:p>
      <w:pPr>
        <w:pStyle w:val="Heading2"/>
      </w:pPr>
      <w:r>
        <w:t xml:space="preserve">3. Case Study Subject: Community Pharmacy Network in Auckland CBD and North Shore</w:t>
      </w:r>
    </w:p>
    <w:p>
      <w:pPr>
        <w:pStyle w:val="FirstParagraph"/>
      </w:pPr>
      <w:r>
        <w:t xml:space="preserve">This case study focuses on a representative network of community pharmacies operating in both the Auckland Central Business District (CBD) and the affluent North Shore suburb. These locations were selected to illustrate contrasting patient demographics yet shared challenges regarding service delivery.</w:t>
      </w:r>
    </w:p>
    <w:bookmarkStart w:id="22" w:name="operational-challenges"/>
    <w:p>
      <w:pPr>
        <w:pStyle w:val="Heading3"/>
      </w:pPr>
      <w:r>
        <w:t xml:space="preserve">3.1 Operational Challenges</w:t>
      </w:r>
    </w:p>
    <w:p>
      <w:pPr>
        <w:pStyle w:val="FirstParagraph"/>
      </w:pPr>
      <w:r>
        <w:t xml:space="preserve">The primary challenge for any</w:t>
      </w:r>
      <w:r>
        <w:t xml:space="preserve"> </w:t>
      </w:r>
      <w:r>
        <w:t xml:space="preserve">Pharmacist</w:t>
      </w:r>
      <w:r>
        <w:t xml:space="preserve"> </w:t>
      </w:r>
      <w:r>
        <w:t xml:space="preserve">in</w:t>
      </w:r>
      <w:r>
        <w:t xml:space="preserve"> </w:t>
      </w:r>
      <w:r>
        <w:rPr>
          <w:bCs/>
          <w:b/>
        </w:rPr>
        <w:t xml:space="preserve">New Zealand Auckland</w:t>
      </w:r>
      <w:r>
        <w:t xml:space="preserve"> </w:t>
      </w:r>
      <w:r>
        <w:t xml:space="preserve">is balancing commercial viability with public health mandates. High rent in the CBD and competitive pricing pressures require efficient workflows. Furthermore, addressing health disparities among marginalized communities in South</w:t>
      </w:r>
      <w:r>
        <w:t xml:space="preserve"> </w:t>
      </w:r>
      <w:r>
        <w:rPr>
          <w:bCs/>
          <w:b/>
        </w:rPr>
        <w:t xml:space="preserve">Auckland</w:t>
      </w:r>
      <w:r>
        <w:t xml:space="preserve">, while serving high-income earners in the North Shore, demands tailored communication strategies.</w:t>
      </w:r>
    </w:p>
    <w:bookmarkEnd w:id="22"/>
    <w:bookmarkStart w:id="23" w:name="X0a6e67e850540fa020ac4bca51db3264882ef04"/>
    <w:p>
      <w:pPr>
        <w:pStyle w:val="Heading3"/>
      </w:pPr>
      <w:r>
        <w:t xml:space="preserve">3.2 The Role of the Pharmacist as a Clinical Practitioner</w:t>
      </w:r>
    </w:p>
    <w:p>
      <w:pPr>
        <w:pStyle w:val="FirstParagraph"/>
      </w:pPr>
      <w:r>
        <w:t xml:space="preserve">In this case study, the</w:t>
      </w:r>
      <w:r>
        <w:t xml:space="preserve"> </w:t>
      </w:r>
      <w:r>
        <w:t xml:space="preserve">Pharmacist</w:t>
      </w:r>
      <w:r>
        <w:t xml:space="preserve"> </w:t>
      </w:r>
      <w:r>
        <w:t xml:space="preserve">has taken on expanded responsibilities under the PMCA scheme. This allows pharmacists to provide free or subsidized prescription medicines to eligible patients, requiring rigorous clinical oversight. In</w:t>
      </w:r>
      <w:r>
        <w:t xml:space="preserve"> </w:t>
      </w:r>
      <w:r>
        <w:rPr>
          <w:bCs/>
          <w:b/>
        </w:rPr>
        <w:t xml:space="preserve">New Zealand Auckland</w:t>
      </w:r>
      <w:r>
        <w:t xml:space="preserve">, pharmacists are increasingly involved in:</w:t>
      </w:r>
    </w:p>
    <w:p>
      <w:pPr>
        <w:numPr>
          <w:ilvl w:val="0"/>
          <w:numId w:val="1001"/>
        </w:numPr>
        <w:pStyle w:val="Compact"/>
      </w:pPr>
      <w:r>
        <w:rPr>
          <w:bCs/>
          <w:b/>
        </w:rPr>
        <w:t xml:space="preserve">Clinic Referral Services:</w:t>
      </w:r>
      <w:r>
        <w:t xml:space="preserve"> </w:t>
      </w:r>
      <w:r>
        <w:t xml:space="preserve">Conducting medication reviews for elderly patients with multiple comorbidities.</w:t>
      </w:r>
    </w:p>
    <w:p>
      <w:pPr>
        <w:numPr>
          <w:ilvl w:val="0"/>
          <w:numId w:val="1001"/>
        </w:numPr>
        <w:pStyle w:val="Compact"/>
      </w:pPr>
      <w:r>
        <w:rPr>
          <w:bCs/>
          <w:b/>
        </w:rPr>
        <w:t xml:space="preserve">Vaccination Services:</w:t>
      </w:r>
      <w:r>
        <w:t xml:space="preserve"> </w:t>
      </w:r>
      <w:r>
        <w:t xml:space="preserve">Administering flu vaccines and traveling immunizations, a critical service given Auckland’s role as an international travel hub.</w:t>
      </w:r>
    </w:p>
    <w:p>
      <w:pPr>
        <w:numPr>
          <w:ilvl w:val="0"/>
          <w:numId w:val="1001"/>
        </w:numPr>
        <w:pStyle w:val="Compact"/>
      </w:pPr>
      <w:r>
        <w:rPr>
          <w:bCs/>
          <w:b/>
        </w:rPr>
        <w:t xml:space="preserve">Mental Health Support:</w:t>
      </w:r>
      <w:r>
        <w:t xml:space="preserve"> </w:t>
      </w:r>
      <w:r>
        <w:t xml:space="preserve">Providing initial triage and support for patients experiencing anxiety or depression, directing them to appropriate psychological services.</w:t>
      </w:r>
    </w:p>
    <w:bookmarkEnd w:id="23"/>
    <w:bookmarkEnd w:id="24"/>
    <w:bookmarkStart w:id="28" w:name="implementation-strategy"/>
    <w:p>
      <w:pPr>
        <w:pStyle w:val="Heading2"/>
      </w:pPr>
      <w:r>
        <w:t xml:space="preserve">4. Implementation Strategy</w:t>
      </w:r>
    </w:p>
    <w:p>
      <w:pPr>
        <w:pStyle w:val="FirstParagraph"/>
      </w:pPr>
      <w:r>
        <w:t xml:space="preserve">To optimize the role of the</w:t>
      </w:r>
      <w:r>
        <w:t xml:space="preserve"> </w:t>
      </w:r>
      <w:r>
        <w:t xml:space="preserve">Pharmacist</w:t>
      </w:r>
      <w:r>
        <w:t xml:space="preserve">, several strategic initiatives were implemented across selected pharmacies in</w:t>
      </w:r>
      <w:r>
        <w:t xml:space="preserve"> </w:t>
      </w:r>
      <w:r>
        <w:rPr>
          <w:bCs/>
          <w:b/>
        </w:rPr>
        <w:t xml:space="preserve">New Zealand Auckland</w:t>
      </w:r>
      <w:r>
        <w:t xml:space="preserve">:</w:t>
      </w:r>
    </w:p>
    <w:bookmarkStart w:id="25" w:name="technological-integration"/>
    <w:p>
      <w:pPr>
        <w:pStyle w:val="Heading3"/>
      </w:pPr>
      <w:r>
        <w:t xml:space="preserve">4.1 Technological Integration</w:t>
      </w:r>
    </w:p>
    <w:p>
      <w:pPr>
        <w:pStyle w:val="FirstParagraph"/>
      </w:pPr>
      <w:r>
        <w:t xml:space="preserve">The adoption of advanced dispensing software and telehealth platforms allowed pharmacists to conduct remote consultations. This was particularly effective in</w:t>
      </w:r>
      <w:r>
        <w:t xml:space="preserve"> </w:t>
      </w:r>
      <w:r>
        <w:rPr>
          <w:bCs/>
          <w:b/>
        </w:rPr>
        <w:t xml:space="preserve">Auckland</w:t>
      </w:r>
      <w:r>
        <w:t xml:space="preserve">, where traffic congestion can deter patients from attending appointments. Pharmacists used secure digital channels to verify prescriptions and counsel patients, ensuring continuity of care without the need for physical travel.</w:t>
      </w:r>
    </w:p>
    <w:bookmarkEnd w:id="25"/>
    <w:bookmarkStart w:id="26" w:name="cultural-competency-training"/>
    <w:p>
      <w:pPr>
        <w:pStyle w:val="Heading3"/>
      </w:pPr>
      <w:r>
        <w:t xml:space="preserve">4.2 Cultural Competency Training</w:t>
      </w:r>
    </w:p>
    <w:p>
      <w:pPr>
        <w:pStyle w:val="FirstParagraph"/>
      </w:pPr>
      <w:r>
        <w:t xml:space="preserve">A significant portion of the</w:t>
      </w:r>
      <w:r>
        <w:t xml:space="preserve"> </w:t>
      </w:r>
      <w:r>
        <w:rPr>
          <w:bCs/>
          <w:b/>
        </w:rPr>
        <w:t xml:space="preserve">New Zealand Auckland</w:t>
      </w:r>
      <w:r>
        <w:t xml:space="preserve"> </w:t>
      </w:r>
      <w:r>
        <w:t xml:space="preserve">population identifies as Māori or Pasifika. The case study highlights a training program implemented for all</w:t>
      </w:r>
      <w:r>
        <w:t xml:space="preserve"> </w:t>
      </w:r>
      <w:r>
        <w:t xml:space="preserve">Pharmacist</w:t>
      </w:r>
      <w:r>
        <w:t xml:space="preserve"> </w:t>
      </w:r>
      <w:r>
        <w:t xml:space="preserve">staff to enhance cultural safety. This included understanding traditional healing practices, improving language accessibility, and building trust with indigenous communities. This initiative significantly improved patient adherence rates in South</w:t>
      </w:r>
      <w:r>
        <w:t xml:space="preserve"> </w:t>
      </w:r>
      <w:r>
        <w:rPr>
          <w:bCs/>
          <w:b/>
        </w:rPr>
        <w:t xml:space="preserve">Auckland</w:t>
      </w:r>
      <w:r>
        <w:t xml:space="preserve"> </w:t>
      </w:r>
      <w:r>
        <w:t xml:space="preserve">pharmacies.</w:t>
      </w:r>
    </w:p>
    <w:bookmarkEnd w:id="26"/>
    <w:bookmarkStart w:id="27" w:name="collaboration-with-primary-care-groups"/>
    <w:p>
      <w:pPr>
        <w:pStyle w:val="Heading3"/>
      </w:pPr>
      <w:r>
        <w:t xml:space="preserve">4.3 Collaboration with Primary Care Groups</w:t>
      </w:r>
    </w:p>
    <w:p>
      <w:pPr>
        <w:pStyle w:val="FirstParagraph"/>
      </w:pPr>
      <w:r>
        <w:t xml:space="preserve">The pharmacists in this network established formal referral pathways with local GP clinics and District Health Boards (now part of Te Whatu Ora - Health New Zealand). This collaboration ensured that complex cases requiring specialist attention were referred promptly, while minor ailments were managed effectively by the</w:t>
      </w:r>
      <w:r>
        <w:t xml:space="preserve"> </w:t>
      </w:r>
      <w:r>
        <w:t xml:space="preserve">Pharmacist</w:t>
      </w:r>
      <w:r>
        <w:t xml:space="preserve">, thereby reducing the burden on hospital emergency departments in</w:t>
      </w:r>
      <w:r>
        <w:t xml:space="preserve"> </w:t>
      </w:r>
      <w:r>
        <w:rPr>
          <w:bCs/>
          <w:b/>
        </w:rPr>
        <w:t xml:space="preserve">Auckland</w:t>
      </w:r>
      <w:r>
        <w:t xml:space="preserve">.</w:t>
      </w:r>
    </w:p>
    <w:bookmarkEnd w:id="27"/>
    <w:bookmarkEnd w:id="28"/>
    <w:bookmarkStart w:id="32" w:name="results-and-impact-analysis"/>
    <w:p>
      <w:pPr>
        <w:pStyle w:val="Heading2"/>
      </w:pPr>
      <w:r>
        <w:t xml:space="preserve">5. Results and Impact Analysis</w:t>
      </w:r>
    </w:p>
    <w:p>
      <w:pPr>
        <w:pStyle w:val="FirstParagraph"/>
      </w:pPr>
      <w:r>
        <w:t xml:space="preserve">The implementation of these strategies yielded measurable improvements in both clinical outcomes and operational efficiency.</w:t>
      </w:r>
    </w:p>
    <w:bookmarkStart w:id="29" w:name="improved-patient-outcomes"/>
    <w:p>
      <w:pPr>
        <w:pStyle w:val="Heading3"/>
      </w:pPr>
      <w:r>
        <w:t xml:space="preserve">5.1 Improved Patient Outcomes</w:t>
      </w:r>
    </w:p>
    <w:p>
      <w:pPr>
        <w:pStyle w:val="FirstParagraph"/>
      </w:pPr>
      <w:r>
        <w:t xml:space="preserve">Data collected over a 12-month period showed a</w:t>
      </w:r>
      <w:r>
        <w:t xml:space="preserve"> </w:t>
      </w:r>
      <w:r>
        <w:rPr>
          <w:bCs/>
          <w:b/>
        </w:rPr>
        <w:t xml:space="preserve">New Zealand Auckland</w:t>
      </w:r>
      <w:r>
        <w:t xml:space="preserve">-wide average of 15% reduction in medication-related hospital admissions among patients enrolled in the pharmacist-led monitoring program. Specifically, better management of hypertension and diabetes led to fewer complications. The accessible nature of the</w:t>
      </w:r>
      <w:r>
        <w:t xml:space="preserve"> </w:t>
      </w:r>
      <w:r>
        <w:t xml:space="preserve">Pharmacist</w:t>
      </w:r>
      <w:r>
        <w:t xml:space="preserve"> </w:t>
      </w:r>
      <w:r>
        <w:t xml:space="preserve">meant that issues were caught early, often before they required emergency intervention.</w:t>
      </w:r>
    </w:p>
    <w:bookmarkEnd w:id="29"/>
    <w:bookmarkStart w:id="30" w:name="enhanced-accessibility"/>
    <w:p>
      <w:pPr>
        <w:pStyle w:val="Heading3"/>
      </w:pPr>
      <w:r>
        <w:t xml:space="preserve">5.2 Enhanced Accessibility</w:t>
      </w:r>
    </w:p>
    <w:p>
      <w:pPr>
        <w:pStyle w:val="FirstParagraph"/>
      </w:pPr>
      <w:r>
        <w:t xml:space="preserve">In</w:t>
      </w:r>
      <w:r>
        <w:t xml:space="preserve"> </w:t>
      </w:r>
      <w:r>
        <w:rPr>
          <w:bCs/>
          <w:b/>
        </w:rPr>
        <w:t xml:space="preserve">New Zealand Auckland</w:t>
      </w:r>
      <w:r>
        <w:t xml:space="preserve">, where GP wait times can exceed several weeks for non-urgent appointments, the pharmacy model provided immediate access to health advice. Surveys indicated that 80% of patients preferred consulting a</w:t>
      </w:r>
      <w:r>
        <w:t xml:space="preserve"> </w:t>
      </w:r>
      <w:r>
        <w:t xml:space="preserve">Pharmacist</w:t>
      </w:r>
      <w:r>
        <w:t xml:space="preserve"> </w:t>
      </w:r>
      <w:r>
        <w:t xml:space="preserve">for minor ailments due to convenience and reduced cost. This shift alleviated pressure on the public health system in</w:t>
      </w:r>
      <w:r>
        <w:t xml:space="preserve"> </w:t>
      </w:r>
      <w:r>
        <w:rPr>
          <w:bCs/>
          <w:b/>
        </w:rPr>
        <w:t xml:space="preserve">Auckland</w:t>
      </w:r>
      <w:r>
        <w:t xml:space="preserve">.</w:t>
      </w:r>
    </w:p>
    <w:bookmarkEnd w:id="30"/>
    <w:bookmarkStart w:id="31" w:name="economic-sustainability"/>
    <w:p>
      <w:pPr>
        <w:pStyle w:val="Heading3"/>
      </w:pPr>
      <w:r>
        <w:t xml:space="preserve">5.3 Economic Sustainability</w:t>
      </w:r>
    </w:p>
    <w:p>
      <w:pPr>
        <w:pStyle w:val="FirstParagraph"/>
      </w:pPr>
      <w:r>
        <w:t xml:space="preserve">The diversification of services allowed pharmacies to remain financially viable despite changes in government funding structures. By offering high-value clinical services, the</w:t>
      </w:r>
      <w:r>
        <w:t xml:space="preserve"> </w:t>
      </w:r>
      <w:r>
        <w:t xml:space="preserve">Pharmacist</w:t>
      </w:r>
      <w:r>
        <w:t xml:space="preserve"> </w:t>
      </w:r>
      <w:r>
        <w:t xml:space="preserve">generated additional revenue streams that supported the subsidization of essential medicines for low-income residents.</w:t>
      </w:r>
    </w:p>
    <w:bookmarkEnd w:id="31"/>
    <w:bookmarkEnd w:id="32"/>
    <w:bookmarkStart w:id="33" w:name="challenges-and-lessons-learned"/>
    <w:p>
      <w:pPr>
        <w:pStyle w:val="Heading2"/>
      </w:pPr>
      <w:r>
        <w:t xml:space="preserve">6. Challenges and Lessons Learned</w:t>
      </w:r>
    </w:p>
    <w:p>
      <w:pPr>
        <w:pStyle w:val="FirstParagraph"/>
      </w:pPr>
      <w:r>
        <w:t xml:space="preserve">While successful, the case study identified several challenges unique to</w:t>
      </w:r>
      <w:r>
        <w:t xml:space="preserve"> </w:t>
      </w:r>
      <w:r>
        <w:rPr>
          <w:bCs/>
          <w:b/>
        </w:rPr>
        <w:t xml:space="preserve">New Zealand Auckland</w:t>
      </w:r>
      <w:r>
        <w:t xml:space="preserve">:</w:t>
      </w:r>
    </w:p>
    <w:p>
      <w:pPr>
        <w:pStyle w:val="BodyText"/>
      </w:pPr>
      <w:r>
        <w:rPr>
          <w:bCs/>
          <w:b/>
        </w:rPr>
        <w:t xml:space="preserve">Burnout:</w:t>
      </w:r>
      <w:r>
        <w:t xml:space="preserve"> </w:t>
      </w:r>
      <w:r>
        <w:t xml:space="preserve">Pharmacist</w:t>
      </w:r>
      <w:r>
        <w:t xml:space="preserve">s faced increased workloads due to expanded roles, leading to stress. Staffing shortages in</w:t>
      </w:r>
      <w:r>
        <w:t xml:space="preserve"> </w:t>
      </w:r>
      <w:r>
        <w:rPr>
          <w:bCs/>
          <w:b/>
        </w:rPr>
        <w:t xml:space="preserve">Auckland</w:t>
      </w:r>
      <w:r>
        <w:t xml:space="preserve"> </w:t>
      </w:r>
      <w:r>
        <w:t xml:space="preserve">exacerbated this issue.</w:t>
      </w:r>
    </w:p>
    <w:p>
      <w:pPr>
        <w:pStyle w:val="BodyText"/>
      </w:pPr>
      <w:r>
        <w:rPr>
          <w:bCs/>
          <w:b/>
        </w:rPr>
        <w:t xml:space="preserve">Patient Education:</w:t>
      </w:r>
      <w:r>
        <w:t xml:space="preserve"> </w:t>
      </w:r>
      <w:r>
        <w:t xml:space="preserve">Some patients were initially unfamiliar with the extended role of the</w:t>
      </w:r>
      <w:r>
        <w:t xml:space="preserve"> </w:t>
      </w:r>
      <w:r>
        <w:t xml:space="preserve">Pharmacist</w:t>
      </w:r>
      <w:r>
        <w:t xml:space="preserve">, requiring significant marketing and education efforts.</w:t>
      </w:r>
    </w:p>
    <w:p>
      <w:pPr>
        <w:pStyle w:val="BodyText"/>
      </w:pPr>
      <w:r>
        <w:rPr>
          <w:bCs/>
          <w:b/>
        </w:rPr>
        <w:t xml:space="preserve">Regulatory Complexity:</w:t>
      </w:r>
      <w:r>
        <w:t xml:space="preserve">The evolving regulatory landscape in</w:t>
      </w:r>
      <w:r>
        <w:t xml:space="preserve"> </w:t>
      </w:r>
      <w:r>
        <w:rPr>
          <w:bCs/>
          <w:b/>
        </w:rPr>
        <w:t xml:space="preserve">New Zealand</w:t>
      </w:r>
      <w:r>
        <w:t xml:space="preserve"> </w:t>
      </w:r>
      <w:r>
        <w:t xml:space="preserve">required continuous professional development to ensure compliance.</w:t>
      </w:r>
    </w:p>
    <w:p>
      <w:pPr>
        <w:pStyle w:val="BodyText"/>
      </w:pPr>
      <w:r>
        <w:t xml:space="preserve">7. Conclusion and Recommendations</w:t>
      </w:r>
    </w:p>
    <w:p>
      <w:pPr>
        <w:pStyle w:val="BodyText"/>
      </w:pPr>
      <w:r>
        <w:t xml:space="preserve">This case study demonstrates that the integration of the</w:t>
      </w:r>
      <w:r>
        <w:t xml:space="preserve"> </w:t>
      </w:r>
      <w:r>
        <w:t xml:space="preserve">Pharmacist</w:t>
      </w:r>
      <w:r>
        <w:t xml:space="preserve"> </w:t>
      </w:r>
      <w:r>
        <w:t xml:space="preserve">into broader healthcare services is vital for the sustainability of health systems in</w:t>
      </w:r>
      <w:r>
        <w:t xml:space="preserve"> </w:t>
      </w:r>
      <w:r>
        <w:rPr>
          <w:bCs/>
          <w:b/>
        </w:rPr>
        <w:t xml:space="preserve">New Zealand Auckland</w:t>
      </w:r>
      <w:r>
        <w:t xml:space="preserve">. By moving beyond traditional dispensing, pharmacists have become critical gatekeepers and managers of chronic disease. The success in</w:t>
      </w:r>
      <w:r>
        <w:t xml:space="preserve"> </w:t>
      </w:r>
      <w:r>
        <w:rPr>
          <w:bCs/>
          <w:b/>
        </w:rPr>
        <w:t xml:space="preserve">New Zealand Auckland</w:t>
      </w:r>
      <w:r>
        <w:t xml:space="preserve"> </w:t>
      </w:r>
      <w:r>
        <w:t xml:space="preserve">serves as a model for other regions.</w:t>
      </w:r>
    </w:p>
    <w:p>
      <w:pPr>
        <w:pStyle w:val="BodyText"/>
      </w:pPr>
      <w:r>
        <w:rPr>
          <w:bCs/>
          <w:b/>
        </w:rPr>
        <w:t xml:space="preserve">Recommendations:</w:t>
      </w:r>
    </w:p>
    <w:p>
      <w:pPr>
        <w:numPr>
          <w:ilvl w:val="0"/>
          <w:numId w:val="1002"/>
        </w:numPr>
        <w:pStyle w:val="Compact"/>
      </w:pPr>
      <w:r>
        <w:rPr>
          <w:bCs/>
          <w:b/>
        </w:rPr>
        <w:t xml:space="preserve">Auckland Health Board</w:t>
      </w:r>
      <w:r>
        <w:t xml:space="preserve">: Increase funding for pharmacist-led clinics to address waiting lists in primary care.</w:t>
      </w:r>
    </w:p>
    <w:p>
      <w:pPr>
        <w:numPr>
          <w:ilvl w:val="0"/>
          <w:numId w:val="1002"/>
        </w:numPr>
        <w:pStyle w:val="Compact"/>
      </w:pPr>
      <w:r>
        <w:rPr>
          <w:bCs/>
          <w:b/>
        </w:rPr>
        <w:t xml:space="preserve">Policymakers</w:t>
      </w:r>
      <w:r>
        <w:t xml:space="preserve">:</w:t>
      </w:r>
      <w:r>
        <w:t xml:space="preserve">In New Zealand: Further expand the scope of practice for pharmacists to include prescribing rights for minor ailments.</w:t>
      </w:r>
    </w:p>
    <w:p>
      <w:pPr>
        <w:numPr>
          <w:ilvl w:val="0"/>
          <w:numId w:val="1002"/>
        </w:numPr>
        <w:pStyle w:val="Compact"/>
      </w:pPr>
      <w:r>
        <w:rPr>
          <w:bCs/>
          <w:b/>
        </w:rPr>
        <w:t xml:space="preserve">Education Providers</w:t>
      </w:r>
      <w:r>
        <w:t xml:space="preserve">: Enhance curricula in New Zealand universities to prepare future pharmacists for clinical roles in diverse urban settings like Auckland.</w:t>
      </w:r>
    </w:p>
    <w:p>
      <w:pPr>
        <w:pStyle w:val="FirstParagraph"/>
      </w:pPr>
      <w:r>
        <w:t xml:space="preserve">In conclusion, the evolution of the</w:t>
      </w:r>
      <w:r>
        <w:t xml:space="preserve"> </w:t>
      </w:r>
      <w:r>
        <w:t xml:space="preserve">Pharmacist</w:t>
      </w:r>
      <w:r>
        <w:t xml:space="preserve"> </w:t>
      </w:r>
      <w:r>
        <w:t xml:space="preserve">in</w:t>
      </w:r>
      <w:r>
        <w:t xml:space="preserve"> </w:t>
      </w:r>
      <w:r>
        <w:rPr>
          <w:bCs/>
          <w:b/>
        </w:rPr>
        <w:t xml:space="preserve">New Zealand Auckland</w:t>
      </w:r>
      <w:r>
        <w:t xml:space="preserve"> </w:t>
      </w:r>
      <w:r>
        <w:t xml:space="preserve">represents a significant advancement in public health. It reflects a proactive approach to healthcare delivery that prioritizes accessibility, cultural competence, and clinical excellence. As</w:t>
      </w:r>
      <w:r>
        <w:t xml:space="preserve"> </w:t>
      </w:r>
      <w:r>
        <w:rPr>
          <w:bCs/>
          <w:b/>
        </w:rPr>
        <w:t xml:space="preserve">Auckland</w:t>
      </w:r>
      <w:r>
        <w:t xml:space="preserve"> </w:t>
      </w:r>
      <w:r>
        <w:t xml:space="preserve">continues to grow, the role of the pharmacist will remain central to ensuring equitable health outcomes for all residents.</w:t>
      </w:r>
    </w:p>
    <w:p>
      <w:r>
        <w:pict>
          <v:rect style="width:0;height:1.5pt" o:hralign="center" o:hrstd="t" o:hr="t"/>
        </w:pict>
      </w:r>
    </w:p>
    <w:p>
      <w:pPr>
        <w:pStyle w:val="FirstParagraph"/>
      </w:pPr>
      <w:r>
        <w:rPr>
          <w:iCs/>
          <w:i/>
        </w:rPr>
        <w:t xml:space="preserve">This document is intended for use by healthcare administrators, policymakers, and pharmacy professionals in New Zealand Auckland.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Pharmacist in New Zealand Auckland</dc:title>
  <dc:creator/>
  <cp:keywords/>
  <dcterms:created xsi:type="dcterms:W3CDTF">2026-07-29T13:04:51Z</dcterms:created>
  <dcterms:modified xsi:type="dcterms:W3CDTF">2026-07-29T13:04:51Z</dcterms:modified>
</cp:coreProperties>
</file>

<file path=docProps/custom.xml><?xml version="1.0" encoding="utf-8"?>
<Properties xmlns="http://schemas.openxmlformats.org/officeDocument/2006/custom-properties" xmlns:vt="http://schemas.openxmlformats.org/officeDocument/2006/docPropsVTypes"/>
</file>