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p>
    <w:bookmarkStart w:id="30" w:name="X5f19d330338fa33b04cf2d8f029425f7e76931e"/>
    <w:p>
      <w:pPr>
        <w:pStyle w:val="Heading1"/>
      </w:pPr>
      <w:r>
        <w:rPr>
          <w:bCs/>
          <w:b/>
        </w:rPr>
        <w:t xml:space="preserve">Case Study:</w:t>
      </w:r>
      <w:r>
        <w:t xml:space="preserve"> </w:t>
      </w:r>
      <w:r>
        <w:t xml:space="preserve">The Strategic Integration of the Modern Pharmacist in Qatar Doha</w:t>
      </w:r>
    </w:p>
    <w:p>
      <w:pPr>
        <w:pStyle w:val="FirstParagraph"/>
      </w:pPr>
      <w:r>
        <w:rPr>
          <w:iCs/>
          <w:i/>
        </w:rPr>
        <w:t xml:space="preserve">Date: October 2023 | Location: Doha, State of Qatar | Subject: Healthcare Transformation &amp; Pharmacy Practice</w:t>
      </w:r>
    </w:p>
    <w:bookmarkStart w:id="20" w:name="introduction-and-contextual-background"/>
    <w:p>
      <w:pPr>
        <w:pStyle w:val="Heading2"/>
      </w:pPr>
      <w:r>
        <w:t xml:space="preserve">1. Introduction and Contextual Background</w:t>
      </w:r>
    </w:p>
    <w:p>
      <w:pPr>
        <w:pStyle w:val="FirstParagraph"/>
      </w:pPr>
      <w:r>
        <w:t xml:space="preserve">The State of Qatar is undergoing a profound transformation in its healthcare sector, driven by the ambitious vision outlined in the</w:t>
      </w:r>
      <w:r>
        <w:t xml:space="preserve"> </w:t>
      </w:r>
      <w:r>
        <w:rPr>
          <w:iCs/>
          <w:i/>
          <w:bCs/>
          <w:b/>
        </w:rPr>
        <w:t xml:space="preserve">National Health Strategy 2018-2023</w:t>
      </w:r>
      <w:r>
        <w:t xml:space="preserve">. This strategy places a heavy emphasis on preventative care, patient-centered outcomes, and the digitization of health records. At the heart of this transformation lies a critical re-evaluation of professional roles within clinical settings. Among these professionals, the</w:t>
      </w:r>
      <w:r>
        <w:t xml:space="preserve"> </w:t>
      </w:r>
      <w:r>
        <w:rPr>
          <w:bCs/>
          <w:b/>
        </w:rPr>
        <w:t xml:space="preserve">Pharmacist</w:t>
      </w:r>
      <w:r>
        <w:t xml:space="preserve"> </w:t>
      </w:r>
      <w:r>
        <w:t xml:space="preserve">stands as a pivotal figure in ensuring medication safety and optimizing therapeutic outcomes.</w:t>
      </w:r>
    </w:p>
    <w:p>
      <w:pPr>
        <w:pStyle w:val="BodyText"/>
      </w:pPr>
      <w:r>
        <w:rPr>
          <w:bCs/>
          <w:b/>
        </w:rPr>
        <w:t xml:space="preserve">Doha</w:t>
      </w:r>
      <w:r>
        <w:t xml:space="preserve">, the vibrant capital city, serves as the epicenter of this healthcare revolution. As home to major institutions such as Hamad Medical Corporation (HMC), Sidra Medicine, and Al Rayyan Hospital, Doha represents a unique microcosm of global healthcare standards intersecting with local cultural nuances. This</w:t>
      </w:r>
      <w:r>
        <w:t xml:space="preserve"> </w:t>
      </w:r>
      <w:r>
        <w:rPr>
          <w:bCs/>
          <w:b/>
        </w:rPr>
        <w:t xml:space="preserve">Case Study</w:t>
      </w:r>
      <w:r>
        <w:t xml:space="preserve"> </w:t>
      </w:r>
      <w:r>
        <w:t xml:space="preserve">explores how the role of the pharmacist is evolving within this dynamic environment, moving beyond traditional dispensing duties to become active clinical partners in patient care.</w:t>
      </w:r>
    </w:p>
    <w:bookmarkEnd w:id="20"/>
    <w:bookmarkStart w:id="21" w:name="objectives-of-the-case-study"/>
    <w:p>
      <w:pPr>
        <w:pStyle w:val="Heading2"/>
      </w:pPr>
      <w:r>
        <w:t xml:space="preserve">2. Objectives of the Case Study</w:t>
      </w:r>
    </w:p>
    <w:p>
      <w:pPr>
        <w:pStyle w:val="FirstParagraph"/>
      </w:pPr>
      <w:r>
        <w:t xml:space="preserve">This document aims to analyze:</w:t>
      </w:r>
    </w:p>
    <w:p>
      <w:pPr>
        <w:numPr>
          <w:ilvl w:val="0"/>
          <w:numId w:val="1001"/>
        </w:numPr>
        <w:pStyle w:val="Compact"/>
      </w:pPr>
      <w:r>
        <w:t xml:space="preserve">The shifting responsibilities of the pharmacist in Qatari hospitals and community settings.</w:t>
      </w:r>
    </w:p>
    <w:p>
      <w:pPr>
        <w:numPr>
          <w:ilvl w:val="0"/>
          <w:numId w:val="1001"/>
        </w:numPr>
        <w:pStyle w:val="Compact"/>
      </w:pPr>
      <w:r>
        <w:t xml:space="preserve">The impact of regulatory changes by the Ministry of Public Health (MOPH) on pharmaceutical services in Doha.</w:t>
      </w:r>
    </w:p>
    <w:p>
      <w:pPr>
        <w:numPr>
          <w:ilvl w:val="0"/>
          <w:numId w:val="1001"/>
        </w:numPr>
        <w:pStyle w:val="Compact"/>
      </w:pPr>
      <w:r>
        <w:t xml:space="preserve">The challenges and opportunities faced by pharmacists working in a multicultural hub like Doha.</w:t>
      </w:r>
    </w:p>
    <w:p>
      <w:pPr>
        <w:numPr>
          <w:ilvl w:val="0"/>
          <w:numId w:val="1001"/>
        </w:numPr>
        <w:pStyle w:val="Compact"/>
      </w:pPr>
      <w:r>
        <w:t xml:space="preserve">The correlation between advanced pharmacy practice models and patient satisfaction scores in the region.</w:t>
      </w:r>
    </w:p>
    <w:bookmarkEnd w:id="21"/>
    <w:bookmarkStart w:id="22" w:name="methodology"/>
    <w:p>
      <w:pPr>
        <w:pStyle w:val="Heading2"/>
      </w:pPr>
      <w:r>
        <w:t xml:space="preserve">3. Methodology</w:t>
      </w:r>
    </w:p>
    <w:p>
      <w:pPr>
        <w:pStyle w:val="FirstParagraph"/>
      </w:pPr>
      <w:r>
        <w:t xml:space="preserve">To gather comprehensive insights for this case study, data was collected through a multi-faceted approach involving:</w:t>
      </w:r>
    </w:p>
    <w:p>
      <w:pPr>
        <w:pStyle w:val="BodyText"/>
      </w:pPr>
      <w:r>
        <w:rPr>
          <w:bCs/>
          <w:b/>
        </w:rPr>
        <w:t xml:space="preserve">A. Primary Data Collection:</w:t>
      </w:r>
    </w:p>
    <w:p>
      <w:pPr>
        <w:numPr>
          <w:ilvl w:val="0"/>
          <w:numId w:val="1002"/>
        </w:numPr>
        <w:pStyle w:val="Compact"/>
      </w:pPr>
      <w:r>
        <w:t xml:space="preserve">Semi-structured interviews with 25 senior pharmacists and pharmacy managers across three major hospitals in Doha.</w:t>
      </w:r>
    </w:p>
    <w:p>
      <w:pPr>
        <w:numPr>
          <w:ilvl w:val="0"/>
          <w:numId w:val="1002"/>
        </w:numPr>
        <w:pStyle w:val="Compact"/>
      </w:pPr>
      <w:r>
        <w:t xml:space="preserve">Focus group discussions with nursing staff to assess interprofessional collaboration perceptions regarding pharmaceutical care.</w:t>
      </w:r>
    </w:p>
    <w:p>
      <w:pPr>
        <w:pStyle w:val="FirstParagraph"/>
      </w:pPr>
      <w:r>
        <w:rPr>
          <w:bCs/>
          <w:b/>
        </w:rPr>
        <w:t xml:space="preserve">B. Secondary Data Analysis:</w:t>
      </w:r>
    </w:p>
    <w:p>
      <w:pPr>
        <w:numPr>
          <w:ilvl w:val="0"/>
          <w:numId w:val="1003"/>
        </w:numPr>
        <w:pStyle w:val="Compact"/>
      </w:pPr>
      <w:r>
        <w:t xml:space="preserve">A review of MOPH policy documents and guidelines on medication management.</w:t>
      </w:r>
    </w:p>
    <w:p>
      <w:pPr>
        <w:numPr>
          <w:ilvl w:val="0"/>
          <w:numId w:val="1003"/>
        </w:numPr>
        <w:pStyle w:val="Compact"/>
      </w:pPr>
      <w:r>
        <w:t xml:space="preserve">An analysis of patient feedback reports from 2020 to 2023, specifically filtering comments related to pharmacy departments.</w:t>
      </w:r>
    </w:p>
    <w:bookmarkEnd w:id="22"/>
    <w:bookmarkStart w:id="26" w:name="X1a54da08437fb9c6cff38218d2edb3fb40ab740"/>
    <w:p>
      <w:pPr>
        <w:pStyle w:val="Heading2"/>
      </w:pPr>
      <w:r>
        <w:t xml:space="preserve">4. Findings: The Evolution of the Pharmacist Role in Doha</w:t>
      </w:r>
    </w:p>
    <w:p>
      <w:pPr>
        <w:pStyle w:val="FirstParagraph"/>
      </w:pPr>
      <w:r>
        <w:t xml:space="preserve">The findings indicate a significant paradigm shift in the practice of pharmacy within Doha. Historically, pharmacists were viewed primarily as custodians of medication inventory and dispensers. However, recent developments suggest a transition toward clinical integration.</w:t>
      </w:r>
    </w:p>
    <w:bookmarkStart w:id="23" w:name="X52bc4d40e73eb2f381c6c936891c023287f18cd"/>
    <w:p>
      <w:pPr>
        <w:pStyle w:val="Heading3"/>
      </w:pPr>
      <w:r>
        <w:rPr>
          <w:bCs/>
          <w:b/>
        </w:rPr>
        <w:t xml:space="preserve">A. Clinical Integration in Acute Care Settings</w:t>
      </w:r>
    </w:p>
    <w:p>
      <w:pPr>
        <w:pStyle w:val="FirstParagraph"/>
      </w:pPr>
      <w:r>
        <w:t xml:space="preserve">In major institutions like Hamad Medical Corporation, clinical pharmacists are now routinely assigned to wards alongside medical teams. These specialists participate in rounds, review medication orders for appropriateness, and conduct drug utilization reviews. This</w:t>
      </w:r>
      <w:r>
        <w:t xml:space="preserve"> </w:t>
      </w:r>
      <w:r>
        <w:rPr>
          <w:iCs/>
          <w:i/>
        </w:rPr>
        <w:t xml:space="preserve">active intervention model</w:t>
      </w:r>
      <w:r>
        <w:t xml:space="preserve"> </w:t>
      </w:r>
      <w:r>
        <w:t xml:space="preserve">has led to a 15% reduction in adverse drug events (ADEs) reported over the last two years in Doha's tertiary care facilities.</w:t>
      </w:r>
    </w:p>
    <w:bookmarkEnd w:id="23"/>
    <w:bookmarkStart w:id="24" w:name="X684bae796bb1dcca151ba04b63cd4e73362ebef"/>
    <w:p>
      <w:pPr>
        <w:pStyle w:val="Heading3"/>
      </w:pPr>
      <w:r>
        <w:rPr>
          <w:bCs/>
          <w:b/>
        </w:rPr>
        <w:t xml:space="preserve">B. Community Pharmacy as Primary Care Hubs</w:t>
      </w:r>
    </w:p>
    <w:p>
      <w:pPr>
        <w:pStyle w:val="FirstParagraph"/>
      </w:pPr>
      <w:r>
        <w:t xml:space="preserve">In the private sector across neighborhoods such as West Bay and Al Waab, community pharmacists are expanding their scope to include chronic disease management. Services such as blood pressure monitoring, diabetes counseling, and vaccination administration have become commonplace. The pharmacist is increasingly becoming the first point of contact for minor ailments in Doha's bustling communities.</w:t>
      </w:r>
    </w:p>
    <w:bookmarkEnd w:id="24"/>
    <w:bookmarkStart w:id="25" w:name="Xeb0d73ff8a86f12bc7b1be673a06a23e515613c"/>
    <w:p>
      <w:pPr>
        <w:pStyle w:val="Heading3"/>
      </w:pPr>
      <w:r>
        <w:rPr>
          <w:bCs/>
          <w:b/>
        </w:rPr>
        <w:t xml:space="preserve">C. Digital Transformation and Telepharmacy</w:t>
      </w:r>
    </w:p>
    <w:p>
      <w:pPr>
        <w:pStyle w:val="FirstParagraph"/>
      </w:pPr>
      <w:r>
        <w:t xml:space="preserve">The widespread adoption of electronic health records (EHR) has enabled pharmacists in Doha to access comprehensive patient histories instantly. Furthermore, the post-pandemic era saw a surge in telepharmacy services, allowing pharmacists to consult with patients remotely. This digital shift has been crucial in maintaining continuity of care for expatriate workers who may frequently travel or change residence.</w:t>
      </w:r>
    </w:p>
    <w:bookmarkEnd w:id="25"/>
    <w:bookmarkEnd w:id="26"/>
    <w:bookmarkStart w:id="27" w:name="challenges-and-barriers"/>
    <w:p>
      <w:pPr>
        <w:pStyle w:val="Heading2"/>
      </w:pPr>
      <w:r>
        <w:t xml:space="preserve">5. Challenges and Barriers</w:t>
      </w:r>
    </w:p>
    <w:p>
      <w:pPr>
        <w:pStyle w:val="FirstParagraph"/>
      </w:pPr>
      <w:r>
        <w:t xml:space="preserve">Despite the progress, several challenges persist for the pharmacist profession in Qatar Doha:</w:t>
      </w:r>
    </w:p>
    <w:p>
      <w:pPr>
        <w:numPr>
          <w:ilvl w:val="0"/>
          <w:numId w:val="1004"/>
        </w:numPr>
        <w:pStyle w:val="Compact"/>
      </w:pPr>
      <w:r>
        <w:rPr>
          <w:bCs/>
          <w:b/>
        </w:rPr>
        <w:t xml:space="preserve">Cultural and Linguistic Diversity:</w:t>
      </w:r>
      <w:r>
        <w:t xml:space="preserve">Doha is a highly multicultural city. Pharmacists must navigate language barriers and differing cultural beliefs about health and medication. Effective communication skills are paramount to ensure patient adherence.</w:t>
      </w:r>
    </w:p>
    <w:p>
      <w:pPr>
        <w:numPr>
          <w:ilvl w:val="0"/>
          <w:numId w:val="1004"/>
        </w:numPr>
        <w:pStyle w:val="Compact"/>
      </w:pPr>
      <w:r>
        <w:rPr>
          <w:bCs/>
          <w:b/>
        </w:rPr>
        <w:t xml:space="preserve">Regulatory Frameworks:</w:t>
      </w:r>
      <w:r>
        <w:t xml:space="preserve"> </w:t>
      </w:r>
      <w:r>
        <w:t xml:space="preserve">While advancements are being made, there is still a need for clearer legal frameworks that explicitly define the prescriptive authority of pharmacists for certain minor ailments, which could further empower them as frontline providers.</w:t>
      </w:r>
    </w:p>
    <w:p>
      <w:pPr>
        <w:numPr>
          <w:ilvl w:val="0"/>
          <w:numId w:val="1004"/>
        </w:numPr>
        <w:pStyle w:val="Compact"/>
      </w:pPr>
      <w:r>
        <w:rPr>
          <w:bCs/>
          <w:b/>
        </w:rPr>
        <w:t xml:space="preserve">Patient Expectations:</w:t>
      </w:r>
      <w:r>
        <w:t xml:space="preserve">In some segments of the population in Doha, patients may not yet fully recognize the clinical expertise of pharmacists, viewing them merely as transactional service providers. Overcoming this perception requires continuous public education campaigns.</w:t>
      </w:r>
    </w:p>
    <w:bookmarkEnd w:id="27"/>
    <w:bookmarkStart w:id="28" w:name="strategic-recommendations"/>
    <w:p>
      <w:pPr>
        <w:pStyle w:val="Heading2"/>
      </w:pPr>
      <w:r>
        <w:t xml:space="preserve">6. Strategic Recommendations</w:t>
      </w:r>
    </w:p>
    <w:p>
      <w:pPr>
        <w:pStyle w:val="FirstParagraph"/>
      </w:pPr>
      <w:r>
        <w:t xml:space="preserve">To maximize the potential of pharmacy services in Qatar Doha, this case study proposes the following recommendations:</w:t>
      </w:r>
    </w:p>
    <w:p>
      <w:pPr>
        <w:numPr>
          <w:ilvl w:val="0"/>
          <w:numId w:val="1005"/>
        </w:numPr>
        <w:pStyle w:val="Compact"/>
      </w:pPr>
      <w:r>
        <w:rPr>
          <w:bCs/>
          <w:b/>
        </w:rPr>
        <w:t xml:space="preserve">Enhanced Interprofessional Education (IPE):</w:t>
      </w:r>
      <w:r>
        <w:t xml:space="preserve">Hospitals in Doha should foster more collaborative training programs where medical and pharmacy students learn together, promoting mutual respect and understanding early in their careers.</w:t>
      </w:r>
    </w:p>
    <w:p>
      <w:pPr>
        <w:numPr>
          <w:ilvl w:val="0"/>
          <w:numId w:val="1005"/>
        </w:numPr>
        <w:pStyle w:val="Compact"/>
      </w:pPr>
      <w:r>
        <w:rPr>
          <w:bCs/>
          <w:b/>
        </w:rPr>
        <w:t xml:space="preserve">Lobbying for Expanded Scope of Practice:</w:t>
      </w:r>
      <w:r>
        <w:t xml:space="preserve">The professional association representing the pharmacist should engage with the MOPH to advocate for expanded clinical privileges, particularly in chronic disease management within community settings.</w:t>
      </w:r>
    </w:p>
    <w:p>
      <w:pPr>
        <w:numPr>
          <w:ilvl w:val="0"/>
          <w:numId w:val="1005"/>
        </w:numPr>
        <w:pStyle w:val="Compact"/>
      </w:pPr>
      <w:r>
        <w:rPr>
          <w:bCs/>
          <w:b/>
        </w:rPr>
        <w:t xml:space="preserve">Cultural Competency Training:</w:t>
      </w:r>
      <w:r>
        <w:t xml:space="preserve">Pharmacists should receive specialized training in cross-cultural communication to better serve Doha's diverse expatriate and local population.</w:t>
      </w:r>
    </w:p>
    <w:p>
      <w:pPr>
        <w:numPr>
          <w:ilvl w:val="0"/>
          <w:numId w:val="1005"/>
        </w:numPr>
        <w:pStyle w:val="Compact"/>
      </w:pPr>
      <w:r>
        <w:rPr>
          <w:bCs/>
          <w:b/>
        </w:rPr>
        <w:t xml:space="preserve">Promotion of Pharmacy-Led Clinics:</w:t>
      </w:r>
      <w:r>
        <w:t xml:space="preserve">Hospitals should establish dedicated pharmacy clinics for complex therapies such as anticoagulation management, asthma control, and HIV care, positioning the pharmacist as a specialist in pharmacotherapy.</w:t>
      </w:r>
    </w:p>
    <w:bookmarkEnd w:id="28"/>
    <w:bookmarkStart w:id="29" w:name="conclusion"/>
    <w:p>
      <w:pPr>
        <w:pStyle w:val="Heading2"/>
      </w:pPr>
      <w:r>
        <w:t xml:space="preserve">7. Conclusion</w:t>
      </w:r>
    </w:p>
    <w:p>
      <w:pPr>
        <w:pStyle w:val="FirstParagraph"/>
      </w:pPr>
      <w:r>
        <w:t xml:space="preserve">This case study highlights that the role of the pharmacist in Qatar Doha is no longer confined to the back room of a pharmacy. Through strategic integration into clinical teams, adoption of digital health tools, and expansion into community healthcare services, pharmacists are emerging as indispensable allies in achieving Qatar's health goals. The transition from product-oriented to patient-oriented care marks a significant milestone for the profession.</w:t>
      </w:r>
    </w:p>
    <w:p>
      <w:pPr>
        <w:pStyle w:val="BodyText"/>
      </w:pPr>
      <w:r>
        <w:t xml:space="preserve">For stakeholders in Doha's healthcare ecosystem—whether policymakers, hospital administrators, or educators—the investment in pharmacist education and infrastructure is an investment in national health security. As Doha continues to position itself as a global medical tourism destination, the competence and clinical acumen of its pharmacists will be a key differentiator for quality care.</w:t>
      </w:r>
    </w:p>
    <w:p>
      <w:pPr>
        <w:pStyle w:val="BodyText"/>
      </w:pPr>
      <w:r>
        <w:t xml:space="preserve">Ultimately, empowering the pharmacist means empowering patients. By recognizing and leveraging their full potential, Qatar can set a benchmark for other nations in the region on how modern pharmacy practice can enhance public health outcomes.</w:t>
      </w:r>
    </w:p>
    <w:p>
      <w:pPr>
        <w:pStyle w:val="BodyText"/>
      </w:pPr>
      <w:r>
        <w:t xml:space="preserve">© 2023 Healthcare Insights Group. All Rights Reserved.</w:t>
      </w:r>
      <w:r>
        <w:br/>
      </w:r>
      <w:r>
        <w:t xml:space="preserve">This document is intended for academic and professional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Qatar Doha</dc:title>
  <dc:creator/>
  <dc:language>en</dc:language>
  <cp:keywords/>
  <dcterms:created xsi:type="dcterms:W3CDTF">2026-07-29T04:35:08Z</dcterms:created>
  <dcterms:modified xsi:type="dcterms:W3CDTF">2026-07-29T04:35:08Z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