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0" w:name="X7f538119368f5795a56a5bf9840bafaefe63967"/>
    <w:p>
      <w:pPr>
        <w:pStyle w:val="Heading1"/>
      </w:pPr>
      <w:r>
        <w:t xml:space="preserve">Creative Synergy in a Financial Hub: A Case Study on Hiring a Specialist Photographer for Germany, Frankfurt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Total Words:</w:t>
      </w:r>
      <w:r>
        <w:t xml:space="preserve"> </w:t>
      </w:r>
      <w:r>
        <w:t xml:space="preserve">Approx. 850 words</w:t>
      </w:r>
    </w:p>
    <w:bookmarkStart w:id="20" w:name="the-executive-summary"/>
    <w:p>
      <w:pPr>
        <w:pStyle w:val="Heading2"/>
      </w:pPr>
      <w:r>
        <w:t xml:space="preserve">The Executive Summary</w:t>
      </w:r>
    </w:p>
    <w:p>
      <w:pPr>
        <w:pStyle w:val="FirstParagraph"/>
      </w:pPr>
      <w:r>
        <w:t xml:space="preserve">In the dynamic corporate landscape of central Europe, visual communication has become a paramount asset for brand differentiation. This case study examines the strategic decision-making process behind commissioning a specialized</w:t>
      </w:r>
      <w:r>
        <w:t xml:space="preserve"> </w:t>
      </w:r>
      <w:r>
        <w:rPr>
          <w:bCs/>
          <w:b/>
        </w:rPr>
        <w:t xml:space="preserve">Photographer</w:t>
      </w:r>
      <w:r>
        <w:t xml:space="preserve"> </w:t>
      </w:r>
      <w:r>
        <w:t xml:space="preserve">within the business and cultural epicenter of Frankfurt am Main,</w:t>
      </w:r>
      <w:r>
        <w:t xml:space="preserve"> </w:t>
      </w:r>
      <w:r>
        <w:rPr>
          <w:bCs/>
          <w:b/>
        </w:rPr>
        <w:t xml:space="preserve">Germany</w:t>
      </w:r>
      <w:r>
        <w:t xml:space="preserve">. Specifically focusing on operations in</w:t>
      </w:r>
    </w:p>
    <w:p>
      <w:pPr>
        <w:pStyle w:val="BodyText"/>
      </w:pPr>
      <w:r>
        <w:t xml:space="preserve">Germany Frankfurt, this document explores how local expertise in lighting, architectural context, and cultural nuance can elevate corporate imagery. The study highlights the unique challenges posed by the dense urban architecture of a financial capital and demonstrates why engaging a local professional is superior to utilizing generic or remote visual solutions.</w:t>
      </w:r>
    </w:p>
    <w:bookmarkEnd w:id="20"/>
    <w:bookmarkStart w:id="21" w:name="the-client-profile"/>
    <w:p>
      <w:pPr>
        <w:pStyle w:val="Heading2"/>
      </w:pPr>
      <w:r>
        <w:t xml:space="preserve">The Client Profile</w:t>
      </w:r>
    </w:p>
    <w:p>
      <w:pPr>
        <w:pStyle w:val="FirstParagraph"/>
      </w:pPr>
      <w:r>
        <w:t xml:space="preserve">The subject of this case study is "FinTech Horizon," a mid-sized technology firm specializing in blockchain solutions for European banking institutions. Headquartered in the Eschede district, with major offices near the Main Tower, FinTech Horizon required a complete overhaul of its visual identity to match the prestige and trustworthiness expected by its high-net-worth clients across Europe.</w:t>
      </w:r>
    </w:p>
    <w:bookmarkEnd w:id="21"/>
    <w:bookmarkStart w:id="23" w:name="the-challenge-why-location-matters"/>
    <w:p>
      <w:pPr>
        <w:pStyle w:val="Heading2"/>
      </w:pPr>
      <w:r>
        <w:t xml:space="preserve">The Challenge: Why Location Matters</w:t>
      </w:r>
    </w:p>
    <w:p>
      <w:pPr>
        <w:pStyle w:val="FirstParagraph"/>
      </w:pPr>
      <w:r>
        <w:t xml:space="preserve">The primary challenge was not merely taking photographs, but capturing the essence of innovation amidst tradition. Frankfurt, known as "Mainhattan," presents a unique visual contrast between historic stone buildings and futuristic skyscrapers. A generic stock image library could not convey this specific duality. The client needed a</w:t>
      </w:r>
      <w:r>
        <w:t xml:space="preserve"> </w:t>
      </w:r>
      <w:r>
        <w:rPr>
          <w:bCs/>
          <w:b/>
        </w:rPr>
        <w:t xml:space="preserve">Photographer</w:t>
      </w:r>
      <w:r>
        <w:t xml:space="preserve"> </w:t>
      </w:r>
      <w:r>
        <w:t xml:space="preserve">who understood:</w:t>
      </w:r>
    </w:p>
    <w:p>
      <w:pPr>
        <w:numPr>
          <w:ilvl w:val="0"/>
          <w:numId w:val="1001"/>
        </w:numPr>
        <w:pStyle w:val="Compact"/>
      </w:pPr>
      <w:r>
        <w:rPr>
          <w:bCs/>
          <w:b/>
        </w:rPr>
        <w:t xml:space="preserve">The Lighting Conditions of Germany:</w:t>
      </w:r>
      <w:r>
        <w:t xml:space="preserve"> </w:t>
      </w:r>
      <w:r>
        <w:t xml:space="preserve">Frankfurt often experiences variable cloud cover, requiring technical expertise in balancing natural ambient light with artificial studio setups.</w:t>
      </w:r>
    </w:p>
    <w:p>
      <w:pPr>
        <w:numPr>
          <w:ilvl w:val="0"/>
          <w:numId w:val="1001"/>
        </w:numPr>
        <w:pStyle w:val="Compact"/>
      </w:pPr>
      <w:r>
        <w:rPr>
          <w:bCs/>
          <w:b/>
        </w:rPr>
        <w:t xml:space="preserve">Cultural Expectations in Germany:</w:t>
      </w:r>
    </w:p>
    <w:p>
      <w:pPr>
        <w:numPr>
          <w:ilvl w:val="0"/>
          <w:numId w:val="1001"/>
        </w:numPr>
        <w:pStyle w:val="Compact"/>
      </w:pPr>
      <w:r>
        <w:rPr>
          <w:bCs/>
          <w:b/>
        </w:rPr>
        <w:t xml:space="preserve">Logistical Knowledge of Frankfurt:</w:t>
      </w:r>
      <w:r>
        <w:t xml:space="preserve"> </w:t>
      </w:r>
      <w:r>
        <w:t xml:space="preserve">Navigating the complex permit requirements for shooting in public spaces near landmarks like the Römerberg or within secure financial district towers requires local knowledge.</w:t>
      </w:r>
    </w:p>
    <w:bookmarkStart w:id="22" w:name="the-core-problem"/>
    <w:p>
      <w:pPr>
        <w:pStyle w:val="Heading3"/>
      </w:pPr>
      <w:r>
        <w:t xml:space="preserve">The Core Problem</w:t>
      </w:r>
    </w:p>
    <w:p>
      <w:pPr>
        <w:pStyle w:val="FirstParagraph"/>
      </w:pPr>
      <w:r>
        <w:t xml:space="preserve">The client's existing marketing materials lacked cohesion and failed to communicate their technological sophistication. They needed a comprehensive photo campaign that would serve both digital platforms and physical corporate collateral, requiring a versatile approach from their chosen photographer.</w:t>
      </w:r>
    </w:p>
    <w:bookmarkEnd w:id="22"/>
    <w:bookmarkEnd w:id="23"/>
    <w:bookmarkStart w:id="26" w:name="the-solution-engaging-local-expertise"/>
    <w:p>
      <w:pPr>
        <w:pStyle w:val="Heading2"/>
      </w:pPr>
      <w:r>
        <w:t xml:space="preserve">The Solution: Engaging Local Expertise</w:t>
      </w:r>
    </w:p>
    <w:p>
      <w:pPr>
        <w:pStyle w:val="FirstParagraph"/>
      </w:pPr>
      <w:r>
        <w:t xml:space="preserve">The decision was made to hire a freelance</w:t>
      </w:r>
      <w:r>
        <w:t xml:space="preserve"> </w:t>
      </w:r>
      <w:r>
        <w:rPr>
          <w:bCs/>
          <w:b/>
        </w:rPr>
        <w:t xml:space="preserve">Photographer</w:t>
      </w:r>
    </w:p>
    <w:bookmarkStart w:id="24" w:name="X7efd7fd9a61db46e7d863dbfe2ed9429059db12"/>
    <w:p>
      <w:pPr>
        <w:pStyle w:val="Heading3"/>
      </w:pPr>
      <w:r>
        <w:t xml:space="preserve">Phase 1: Pre-Production and Conceptualization</w:t>
      </w:r>
    </w:p>
    <w:p>
      <w:pPr>
        <w:pStyle w:val="FirstParagraph"/>
      </w:pPr>
      <w:r>
        <w:t xml:space="preserve">The initial phase involved extensive consultation between the client’s marketing director and the photographer. Because the project was situated in Germany, strict adherence to GDPR (General Data Protection Regulation) regarding employee consent forms was established immediately. This legal nuance is critical for any corporate engagement in this region.</w:t>
      </w:r>
    </w:p>
    <w:bookmarkEnd w:id="24"/>
    <w:bookmarkStart w:id="25" w:name="phase-2-execution-on-location"/>
    <w:p>
      <w:pPr>
        <w:pStyle w:val="Heading3"/>
      </w:pPr>
      <w:r>
        <w:t xml:space="preserve">Phase 2: Execution on Location</w:t>
      </w:r>
    </w:p>
    <w:p>
      <w:pPr>
        <w:pStyle w:val="FirstParagraph"/>
      </w:pPr>
      <w:r>
        <w:t xml:space="preserve">The shoot took place over three days across various iconic and functional locations in Frankfurt:</w:t>
      </w:r>
    </w:p>
    <w:p>
      <w:pPr>
        <w:numPr>
          <w:ilvl w:val="0"/>
          <w:numId w:val="1002"/>
        </w:numPr>
        <w:pStyle w:val="Compact"/>
      </w:pPr>
      <w:r>
        <w:rPr>
          <w:bCs/>
          <w:b/>
        </w:rPr>
        <w:t xml:space="preserve">The Skyline Shots:</w:t>
      </w:r>
    </w:p>
    <w:p>
      <w:pPr>
        <w:numPr>
          <w:ilvl w:val="0"/>
          <w:numId w:val="1002"/>
        </w:numPr>
        <w:pStyle w:val="Compact"/>
      </w:pPr>
      <w:r>
        <w:rPr>
          <w:bCs/>
          <w:b/>
        </w:rPr>
        <w:t xml:space="preserve">Interior Corporate Portraits:</w:t>
      </w:r>
    </w:p>
    <w:p>
      <w:pPr>
        <w:numPr>
          <w:ilvl w:val="0"/>
          <w:numId w:val="1002"/>
        </w:numPr>
        <w:pStyle w:val="Compact"/>
      </w:pPr>
      <w:r>
        <w:rPr>
          <w:bCs/>
          <w:b/>
        </w:rPr>
        <w:t xml:space="preserve">Lifestyle and Culture:</w:t>
      </w:r>
    </w:p>
    <w:p>
      <w:pPr>
        <w:pStyle w:val="FirstParagraph"/>
      </w:pPr>
      <w:r>
        <w:t xml:space="preserve">Phase 3: Post-Production and Delivery</w:t>
      </w:r>
    </w:p>
    <w:p>
      <w:pPr>
        <w:pStyle w:val="BodyText"/>
      </w:pPr>
      <w:r>
        <w:t xml:space="preserve">The editing process adhered to high standards of color accuracy. The photographer provided a detailed breakdown of color grading that matched the client’s specific hex codes for brand consistency. Given the strict data sovereignty laws in Germany, all raw files were processed on local servers before being transferred via secure encrypted channels.</w:t>
      </w:r>
    </w:p>
    <w:bookmarkEnd w:id="25"/>
    <w:bookmarkEnd w:id="26"/>
    <w:bookmarkStart w:id="27" w:name="the-results-and-impact"/>
    <w:p>
      <w:pPr>
        <w:pStyle w:val="Heading2"/>
      </w:pPr>
      <w:r>
        <w:t xml:space="preserve">The Results and Impact</w:t>
      </w:r>
    </w:p>
    <w:p>
      <w:pPr>
        <w:pStyle w:val="FirstParagraph"/>
      </w:pPr>
      <w:r>
        <w:t xml:space="preserve">The implementation of the new visual assets resulted in a measurable increase in engagement across digital platforms. The website bounce rate decreased by 15% within the first month, attributed to higher user retention on visually compelling pages. More importantly, internal stakeholders reported that employee morale improved as they felt represented authentically rather than generically.</w:t>
      </w:r>
    </w:p>
    <w:p>
      <w:pPr>
        <w:pStyle w:val="BodyText"/>
      </w:pPr>
      <w:r>
        <w:t xml:space="preserve">Furthermore, the ability of the</w:t>
      </w:r>
      <w:r>
        <w:t xml:space="preserve"> </w:t>
      </w:r>
      <w:r>
        <w:rPr>
          <w:bCs/>
          <w:b/>
        </w:rPr>
        <w:t xml:space="preserve">Photographer</w:t>
      </w:r>
      <w:r>
        <w:t xml:space="preserve"> </w:t>
      </w:r>
      <w:r>
        <w:t xml:space="preserve">to navigate local bureaucratic requirements saved the client significant administrative time. By securing permits for public space usage in advance through established contacts within the city council, potential legal issues were entirely mitigated.</w:t>
      </w:r>
    </w:p>
    <w:bookmarkEnd w:id="27"/>
    <w:bookmarkStart w:id="28" w:name="key-takeaways-for-future-projects"/>
    <w:p>
      <w:pPr>
        <w:pStyle w:val="Heading2"/>
      </w:pPr>
      <w:r>
        <w:t xml:space="preserve">Key Takeaways for Future Projects</w:t>
      </w:r>
    </w:p>
    <w:p>
      <w:pPr>
        <w:numPr>
          <w:ilvl w:val="0"/>
          <w:numId w:val="1003"/>
        </w:numPr>
        <w:pStyle w:val="Compact"/>
      </w:pPr>
      <w:r>
        <w:rPr>
          <w:bCs/>
          <w:b/>
        </w:rPr>
        <w:t xml:space="preserve">Local Knowledge is Critical:</w:t>
      </w:r>
    </w:p>
    <w:p>
      <w:pPr>
        <w:numPr>
          <w:ilvl w:val="0"/>
          <w:numId w:val="1003"/>
        </w:numPr>
        <w:pStyle w:val="Compact"/>
      </w:pPr>
      <w:r>
        <w:rPr>
          <w:bCs/>
          <w:b/>
        </w:rPr>
        <w:t xml:space="preserve">Cultural Alignment:</w:t>
      </w:r>
    </w:p>
    <w:p>
      <w:pPr>
        <w:numPr>
          <w:ilvl w:val="0"/>
          <w:numId w:val="1003"/>
        </w:numPr>
        <w:pStyle w:val="Compact"/>
      </w:pPr>
      <w:r>
        <w:rPr>
          <w:bCs/>
          <w:b/>
        </w:rPr>
        <w:t xml:space="preserve">Compliance is Part of the Service:</w:t>
      </w:r>
    </w:p>
    <w:bookmarkEnd w:id="28"/>
    <w:bookmarkStart w:id="29" w:name="the-verdict"/>
    <w:p>
      <w:pPr>
        <w:pStyle w:val="Heading2"/>
      </w:pPr>
      <w:r>
        <w:t xml:space="preserve">The Verdict</w:t>
      </w:r>
    </w:p>
    <w:p>
      <w:pPr>
        <w:pStyle w:val="FirstParagraph"/>
      </w:pPr>
      <w:r>
        <w:t xml:space="preserve">This case study confirms that investing in a specialized photographer within the specific locale of Germany Frankfurt yields higher quality outcomes than generalist approaches. The synergy between technical photographic skill, architectural awareness of the city, and cultural sensitivity creates a powerful narrative tool for businesses operating in this competitive market. For any organization looking to establish or reinforce its presence in central Europe, partnering with local creative talent is not just an aesthetic choice—it is a strategic imperative.</w:t>
      </w:r>
    </w:p>
    <w:p>
      <w:pPr>
        <w:pStyle w:val="BodyText"/>
      </w:pPr>
      <w:r>
        <w:t xml:space="preserve">The success of FinTech Horizon’s rebranding effort underscores the necessity of context-aware visual storytelling. By leveraging the expertise of a photographer deeply rooted in the Frankfurt ecosystem, the client achieved a brand image that was both globally competitive and locally authentic.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Germany, Frankfurt</dc:title>
  <dc:creator/>
  <dc:language>en</dc:language>
  <cp:keywords/>
  <dcterms:created xsi:type="dcterms:W3CDTF">2026-07-29T06:31:40Z</dcterms:created>
  <dcterms:modified xsi:type="dcterms:W3CDTF">2026-07-29T06:31:40Z</dcterms:modified>
</cp:coreProperties>
</file>

<file path=docProps/custom.xml><?xml version="1.0" encoding="utf-8"?>
<Properties xmlns="http://schemas.openxmlformats.org/officeDocument/2006/custom-properties" xmlns:vt="http://schemas.openxmlformats.org/officeDocument/2006/docPropsVTypes"/>
</file>