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1" w:name="Xc0c571e724c1712c9918303909e4d75e949fd0e"/>
    <w:p>
      <w:pPr>
        <w:pStyle w:val="Heading1"/>
      </w:pPr>
      <w:r>
        <w:t xml:space="preserve">Case Study: Strategic Integration of a Physicist in Germany Berlin’s Emerging Tech Ecosystem</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Subject:</w:t>
      </w:r>
    </w:p>
    <w:bookmarkStart w:id="21" w:name="introduction-and-contextual-background"/>
    <w:p>
      <w:pPr>
        <w:pStyle w:val="Heading2"/>
      </w:pPr>
      <w:bookmarkStart w:id="20" w:name="introduction"/>
      <w:bookmarkEnd w:id="20"/>
      <w:r>
        <w:t xml:space="preserve">Introduction and Contextual Background</w:t>
      </w:r>
    </w:p>
    <w:p>
      <w:pPr>
        <w:pStyle w:val="FirstParagraph"/>
      </w:pPr>
      <w:r>
        <w:t xml:space="preserve">The global landscape of scientific research and technological innovation is undergoing a paradigm shift. At the heart of this transformation lies the role of advanced analytical thinking, quantum mechanics application, and rigorous data interpretation. In this specific context, we examine a comprehensive case study focusing on the recruitment and integration of a senior</w:t>
      </w:r>
      <w:r>
        <w:t xml:space="preserve"> </w:t>
      </w:r>
      <w:r>
        <w:rPr>
          <w:bCs/>
          <w:b/>
        </w:rPr>
        <w:t xml:space="preserve">Physicist</w:t>
      </w:r>
      <w:r>
        <w:t xml:space="preserve">. This analysis is geographically anchored in</w:t>
      </w:r>
      <w:r>
        <w:t xml:space="preserve"> </w:t>
      </w:r>
      <w:r>
        <w:rPr>
          <w:bCs/>
          <w:b/>
        </w:rPr>
        <w:t xml:space="preserve">Germany Berlin</w:t>
      </w:r>
      <w:r>
        <w:t xml:space="preserve">, a city that has rapidly evolved into one of Europe’s most dynamic hubs for science, technology, engineering, and mathematics (STEM).</w:t>
      </w:r>
    </w:p>
    <w:p>
      <w:pPr>
        <w:pStyle w:val="BodyText"/>
      </w:pPr>
      <w:r>
        <w:rPr>
          <w:bCs/>
          <w:b/>
        </w:rPr>
        <w:t xml:space="preserve">Germany Berlin</w:t>
      </w:r>
    </w:p>
    <w:p>
      <w:pPr>
        <w:numPr>
          <w:ilvl w:val="0"/>
          <w:numId w:val="1001"/>
        </w:numPr>
        <w:pStyle w:val="Compact"/>
      </w:pPr>
      <w:r>
        <w:t xml:space="preserve">The increasing demand for quantum computing capabilities.</w:t>
      </w:r>
    </w:p>
    <w:p>
      <w:pPr>
        <w:numPr>
          <w:ilvl w:val="0"/>
          <w:numId w:val="1001"/>
        </w:numPr>
        <w:pStyle w:val="Compact"/>
      </w:pPr>
      <w:r>
        <w:t xml:space="preserve">The transition from traditional engineering to AI-driven physics simulations.</w:t>
      </w:r>
    </w:p>
    <w:p>
      <w:pPr>
        <w:numPr>
          <w:ilvl w:val="0"/>
          <w:numId w:val="1001"/>
        </w:numPr>
        <w:pStyle w:val="Compact"/>
      </w:pPr>
      <w:r>
        <w:t xml:space="preserve">Talent scarcity in specialized fields such as condensed matter physics and photonics.</w:t>
      </w:r>
    </w:p>
    <w:bookmarkEnd w:id="21"/>
    <w:bookmarkStart w:id="23" w:name="organizational-profile"/>
    <w:p>
      <w:pPr>
        <w:pStyle w:val="Heading2"/>
      </w:pPr>
      <w:bookmarkStart w:id="22" w:name="organizational-profile"/>
      <w:bookmarkEnd w:id="22"/>
      <w:r>
        <w:t xml:space="preserve">Organizational Profile</w:t>
      </w:r>
    </w:p>
    <w:bookmarkEnd w:id="23"/>
    <w:bookmarkStart w:id="24" w:name="section"/>
    <w:p>
      <w:pPr>
        <w:pStyle w:val="Heading2"/>
      </w:pPr>
    </w:p>
    <w:p>
      <w:pPr>
        <w:pStyle w:val="FirstParagraph"/>
      </w:pPr>
      <w:r>
        <w:t xml:space="preserve">The organization in question, hereafter referred to as "QuantumLeap Dynamics," is a mid-sized technology firm specializing in next-generation sensor technology and materials science. Headquartered in the Mitte district of</w:t>
      </w:r>
      <w:r>
        <w:t xml:space="preserve"> </w:t>
      </w:r>
      <w:r>
        <w:rPr>
          <w:bCs/>
          <w:b/>
        </w:rPr>
        <w:t xml:space="preserve">Germany Berlin</w:t>
      </w:r>
      <w:r>
        <w:t xml:space="preserve">, QuantumLeap Dynamics faces intense competition from established automotive giants and agile startups alike. The company’s core mission involves developing high-precision sensors for autonomous vehicles and industrial IoT applications.</w:t>
      </w:r>
    </w:p>
    <w:p>
      <w:pPr>
        <w:pStyle w:val="BodyText"/>
      </w:pPr>
      <w:r>
        <w:t xml:space="preserve">The decision to hire a senior</w:t>
      </w:r>
      <w:r>
        <w:t xml:space="preserve"> </w:t>
      </w:r>
      <w:r>
        <w:rPr>
          <w:bCs/>
          <w:b/>
        </w:rPr>
        <w:t xml:space="preserve">Physicist</w:t>
      </w:r>
      <w:r>
        <w:t xml:space="preserve"> </w:t>
      </w:r>
      <w:r>
        <w:t xml:space="preserve">was not merely an administrative staffing decision but a strategic pivot. The existing engineering team consisted primarily of computer scientists and electrical engineers. While competent in software integration, they lacked deep theoretical grounding in the physical properties of novel materials used in their sensors. This gap hindered their ability to innovate at the fundamental level, leading to product stagnation.</w:t>
      </w:r>
    </w:p>
    <w:bookmarkEnd w:id="24"/>
    <w:bookmarkStart w:id="40" w:name="challenges-identified"/>
    <w:p>
      <w:pPr>
        <w:pStyle w:val="Heading2"/>
      </w:pPr>
      <w:bookmarkStart w:id="25" w:name="challenges-identified"/>
      <w:bookmarkEnd w:id="25"/>
      <w:r>
        <w:t xml:space="preserve">Challenges Identified</w:t>
      </w:r>
    </w:p>
    <w:p>
      <w:pPr>
        <w:pStyle w:val="FirstParagraph"/>
      </w:pPr>
      <w:r>
        <w:rPr>
          <w:bCs/>
          <w:b/>
        </w:rPr>
        <w:t xml:space="preserve">Key Challenges in Germany Berlin:</w:t>
      </w:r>
    </w:p>
    <w:p>
      <w:pPr>
        <w:numPr>
          <w:ilvl w:val="0"/>
          <w:numId w:val="1002"/>
        </w:numPr>
        <w:pStyle w:val="Compact"/>
      </w:pPr>
      <w:r>
        <w:rPr>
          <w:bCs/>
          <w:b/>
        </w:rPr>
        <w:t xml:space="preserve">Talent Acquisition Complexity:</w:t>
      </w:r>
      <w:r>
        <w:t xml:space="preserve"> </w:t>
      </w:r>
      <w:r>
        <w:t xml:space="preserve">Finding a qualified physicist with both theoretical depth and practical industry experience is rare. The academic sector in Germany traditionally prioritizes pure research over applied industrial solutions.</w:t>
      </w:r>
    </w:p>
    <w:p>
      <w:pPr>
        <w:numPr>
          <w:ilvl w:val="0"/>
          <w:numId w:val="1002"/>
        </w:numPr>
        <w:pStyle w:val="Compact"/>
      </w:pPr>
      <w:r>
        <w:rPr>
          <w:bCs/>
          <w:b/>
        </w:rPr>
        <w:t xml:space="preserve">Cultural Integration:</w:t>
      </w:r>
      <w:r>
        <w:t xml:space="preserve">Germany Berlin.</w:t>
      </w:r>
    </w:p>
    <w:p>
      <w:pPr>
        <w:numPr>
          <w:ilvl w:val="0"/>
          <w:numId w:val="1002"/>
        </w:numPr>
        <w:pStyle w:val="Compact"/>
      </w:pPr>
      <w:r>
        <w:rPr>
          <w:bCs/>
          <w:b/>
        </w:rPr>
        <w:t xml:space="preserve">Bureaucratic Hurdles:</w:t>
      </w:r>
      <w:r>
        <w:t xml:space="preserve">Navigating German labor laws, visa regulations for international talent (if applicable), and the specific certification requirements for engineering roles in Germany.</w:t>
      </w:r>
    </w:p>
    <w:p>
      <w:pPr>
        <w:numPr>
          <w:ilvl w:val="0"/>
          <w:numId w:val="1002"/>
        </w:numPr>
        <w:pStyle w:val="Compact"/>
      </w:pPr>
      <w:r>
        <w:rPr>
          <w:bCs/>
          <w:b/>
        </w:rPr>
        <w:t xml:space="preserve">Silicon Allee Competition:</w:t>
      </w:r>
    </w:p>
    <w:p>
      <w:pPr>
        <w:numPr>
          <w:ilvl w:val="0"/>
          <w:numId w:val="1000"/>
        </w:numPr>
        <w:pStyle w:val="Compact"/>
      </w:pPr>
      <w:r>
        <w:t xml:space="preserve">The</w:t>
      </w:r>
      <w:r>
        <w:t xml:space="preserve"> </w:t>
      </w:r>
      <w:r>
        <w:rPr>
          <w:bCs/>
          <w:b/>
        </w:rPr>
        <w:t xml:space="preserve">Germany Berlin</w:t>
      </w:r>
      <w:r>
        <w:t xml:space="preserve"> </w:t>
      </w:r>
      <w:r>
        <w:t xml:space="preserve">tech scene is saturated with opportunities. Competitors such as Siemens, Bosch, and numerous quantum startups offer competitive salaries and research facilities.</w:t>
      </w:r>
    </w:p>
    <w:bookmarkStart w:id="27" w:name="objectives-of-the-case-study"/>
    <w:p>
      <w:pPr>
        <w:pStyle w:val="Heading2"/>
      </w:pPr>
      <w:bookmarkStart w:id="26" w:name="objectives"/>
      <w:bookmarkEnd w:id="26"/>
      <w:r>
        <w:t xml:space="preserve">Objectives of the Case Study</w:t>
      </w:r>
    </w:p>
    <w:p>
      <w:pPr>
        <w:pStyle w:val="FirstParagraph"/>
      </w:pPr>
      <w:r>
        <w:t xml:space="preserve">The primary objectives for integrating a physicist into QuantumLeap Dynamics were defined as follows:</w:t>
      </w:r>
    </w:p>
    <w:p>
      <w:pPr>
        <w:numPr>
          <w:ilvl w:val="0"/>
          <w:numId w:val="1003"/>
        </w:numPr>
        <w:pStyle w:val="Compact"/>
      </w:pPr>
      <w:r>
        <w:t xml:space="preserve">To establish a new R&amp;D division focused on material physics.</w:t>
      </w:r>
    </w:p>
    <w:p>
      <w:pPr>
        <w:numPr>
          <w:ilvl w:val="0"/>
          <w:numId w:val="1003"/>
        </w:numPr>
        <w:pStyle w:val="Compact"/>
      </w:pPr>
      <w:r>
        <w:t xml:space="preserve">To reduce sensor failure rates by 40% within 18 months through better understanding of thermal and magnetic fluctuations.</w:t>
      </w:r>
    </w:p>
    <w:p>
      <w:pPr>
        <w:numPr>
          <w:ilvl w:val="0"/>
          <w:numId w:val="1003"/>
        </w:numPr>
        <w:pStyle w:val="Compact"/>
      </w:pPr>
      <w:r>
        <w:t xml:space="preserve">To secure European Union grants for quantum research, requiring a PhD-level lead.</w:t>
      </w:r>
    </w:p>
    <w:bookmarkEnd w:id="27"/>
    <w:bookmarkStart w:id="29" w:name="strategy-formulation"/>
    <w:p>
      <w:pPr>
        <w:pStyle w:val="Heading2"/>
      </w:pPr>
      <w:bookmarkStart w:id="28" w:name="strategy-formulation"/>
      <w:bookmarkEnd w:id="28"/>
      <w:r>
        <w:t xml:space="preserve">Strategy Formulation</w:t>
      </w:r>
    </w:p>
    <w:p>
      <w:pPr>
        <w:pStyle w:val="FirstParagraph"/>
      </w:pPr>
      <w:r>
        <w:t xml:space="preserve">The recruitment strategy was tailored specifically to the unique ecosystem of</w:t>
      </w:r>
      <w:r>
        <w:t xml:space="preserve"> </w:t>
      </w:r>
      <w:r>
        <w:rPr>
          <w:bCs/>
          <w:b/>
        </w:rPr>
        <w:t xml:space="preserve">Germany Berlin</w:t>
      </w:r>
      <w:r>
        <w:t xml:space="preserve">. The team recognized that standard job postings on LinkedIn were insufficient. Instead, they leveraged local academic networks.</w:t>
      </w:r>
    </w:p>
    <w:p>
      <w:pPr>
        <w:numPr>
          <w:ilvl w:val="0"/>
          <w:numId w:val="1004"/>
        </w:numPr>
        <w:pStyle w:val="Compact"/>
      </w:pPr>
      <w:r>
        <w:rPr>
          <w:bCs/>
          <w:b/>
        </w:rPr>
        <w:t xml:space="preserve">University Partnerships:</w:t>
      </w:r>
    </w:p>
    <w:p>
      <w:pPr>
        <w:numPr>
          <w:ilvl w:val="0"/>
          <w:numId w:val="1004"/>
        </w:numPr>
        <w:pStyle w:val="Compact"/>
      </w:pPr>
      <w:r>
        <w:rPr>
          <w:bCs/>
          <w:b/>
        </w:rPr>
        <w:t xml:space="preserve">Cultural Fit Assessment:</w:t>
      </w:r>
      <w:r>
        <w:t xml:space="preserve">The interview process included a "hackathon" style event where candidates had to explain complex physical concepts to non-physicists. This tested their ability to communicate in the interdisciplinary environment of</w:t>
      </w:r>
      <w:r>
        <w:t xml:space="preserve"> </w:t>
      </w:r>
      <w:r>
        <w:rPr>
          <w:bCs/>
          <w:b/>
        </w:rPr>
        <w:t xml:space="preserve">Germany Berlin</w:t>
      </w:r>
      <w:r>
        <w:t xml:space="preserve">.</w:t>
      </w:r>
    </w:p>
    <w:bookmarkEnd w:id="29"/>
    <w:bookmarkStart w:id="31" w:name="implementation-and-integration"/>
    <w:p>
      <w:pPr>
        <w:pStyle w:val="Heading2"/>
      </w:pPr>
      <w:bookmarkStart w:id="30" w:name="implementation"/>
      <w:bookmarkEnd w:id="30"/>
      <w:r>
        <w:t xml:space="preserve">Implementation and Integration</w:t>
      </w:r>
    </w:p>
    <w:p>
      <w:pPr>
        <w:pStyle w:val="FirstParagraph"/>
      </w:pPr>
      <w:r>
        <w:t xml:space="preserve">The selected candidate, Dr. Elena Vogel, a specialist in condensed matter physics, joined the firm after completing a sabbatical at CERN. The integration process involved several key phases:</w:t>
      </w:r>
    </w:p>
    <w:p>
      <w:pPr>
        <w:numPr>
          <w:ilvl w:val="0"/>
          <w:numId w:val="1005"/>
        </w:numPr>
        <w:pStyle w:val="Compact"/>
      </w:pPr>
      <w:r>
        <w:rPr>
          <w:bCs/>
          <w:b/>
        </w:rPr>
        <w:t xml:space="preserve">Phase 1: Knowledge Transfer:</w:t>
      </w:r>
      <w:r>
        <w:t xml:space="preserve">Elena spent her first three months collaborating closely with the electrical engineering team. She translated abstract physical models into code-friendly parameters.</w:t>
      </w:r>
    </w:p>
    <w:p>
      <w:pPr>
        <w:numPr>
          <w:ilvl w:val="0"/>
          <w:numId w:val="1005"/>
        </w:numPr>
        <w:pStyle w:val="Compact"/>
      </w:pPr>
      <w:r>
        <w:rPr>
          <w:bCs/>
          <w:b/>
        </w:rPr>
        <w:t xml:space="preserve">Phase 2: Process Reform:</w:t>
      </w:r>
      <w:r>
        <w:t xml:space="preserve">She introduced rigorous documentation standards, aligning with German DIN ISO norms for engineering documentation.</w:t>
      </w:r>
    </w:p>
    <w:p>
      <w:pPr>
        <w:numPr>
          <w:ilvl w:val="0"/>
          <w:numId w:val="1005"/>
        </w:numPr>
        <w:pStyle w:val="Compact"/>
      </w:pPr>
      <w:r>
        <w:rPr>
          <w:bCs/>
          <w:b/>
        </w:rPr>
        <w:t xml:space="preserve">Phase 3: Innovation Launch:</w:t>
      </w:r>
      <w:r>
        <w:t xml:space="preserve">Leveraging her expertise in photonics, Elena led a project to optimize light absorption in the sensors. This directly addressed the thermal fluctuation issues.</w:t>
      </w:r>
    </w:p>
    <w:bookmarkEnd w:id="31"/>
    <w:bookmarkStart w:id="33" w:name="results-and-impact-analysis"/>
    <w:p>
      <w:pPr>
        <w:pStyle w:val="Heading2"/>
      </w:pPr>
      <w:bookmarkStart w:id="32" w:name="results"/>
      <w:bookmarkEnd w:id="32"/>
      <w:r>
        <w:t xml:space="preserve">Results and Impact Analysis</w:t>
      </w:r>
    </w:p>
    <w:p>
      <w:pPr>
        <w:pStyle w:val="FirstParagraph"/>
      </w:pPr>
      <w:r>
        <w:rPr>
          <w:bCs/>
          <w:b/>
        </w:rPr>
        <w:t xml:space="preserve">Outcomes:</w:t>
      </w:r>
    </w:p>
    <w:p>
      <w:pPr>
        <w:numPr>
          <w:ilvl w:val="0"/>
          <w:numId w:val="1006"/>
        </w:numPr>
        <w:pStyle w:val="Compact"/>
      </w:pPr>
      <w:r>
        <w:rPr>
          <w:bCs/>
          <w:b/>
        </w:rPr>
        <w:t xml:space="preserve">Sensor Stability:</w:t>
      </w:r>
      <w:r>
        <w:t xml:space="preserve">The failure rate dropped by 45%, exceeding the initial target.</w:t>
      </w:r>
    </w:p>
    <w:p>
      <w:pPr>
        <w:numPr>
          <w:ilvl w:val="0"/>
          <w:numId w:val="1006"/>
        </w:numPr>
        <w:pStyle w:val="Compact"/>
      </w:pPr>
      <w:r>
        <w:rPr>
          <w:bCs/>
          <w:b/>
        </w:rPr>
        <w:t xml:space="preserve">Patent Filings:</w:t>
      </w:r>
      <w:r>
        <w:t xml:space="preserve">The company filed two international patents related to the new sensor housing design, directly attributed to Elena’s theoretical insights.</w:t>
      </w:r>
    </w:p>
    <w:bookmarkEnd w:id="33"/>
    <w:bookmarkStart w:id="35" w:name="X2437ef51e4382eb84aa741d234317a3ca284ba4"/>
    <w:p>
      <w:pPr>
        <w:pStyle w:val="Heading2"/>
      </w:pPr>
      <w:bookmarkStart w:id="34" w:name="key-learnings"/>
      <w:bookmarkEnd w:id="34"/>
      <w:r>
        <w:t xml:space="preserve">Key Learnings for the Germany Berlin Market</w:t>
      </w:r>
    </w:p>
    <w:p>
      <w:pPr>
        <w:pStyle w:val="FirstParagraph"/>
      </w:pPr>
      <w:r>
        <w:t xml:space="preserve">This case study highlights several critical insights for organizations operating in</w:t>
      </w:r>
      <w:r>
        <w:t xml:space="preserve"> </w:t>
      </w:r>
      <w:r>
        <w:rPr>
          <w:bCs/>
          <w:b/>
        </w:rPr>
        <w:t xml:space="preserve">Germany Berlin</w:t>
      </w:r>
      <w:r>
        <w:t xml:space="preserve">:</w:t>
      </w:r>
    </w:p>
    <w:p>
      <w:pPr>
        <w:numPr>
          <w:ilvl w:val="0"/>
          <w:numId w:val="1007"/>
        </w:numPr>
        <w:pStyle w:val="Compact"/>
      </w:pPr>
      <w:r>
        <w:rPr>
          <w:bCs/>
          <w:b/>
        </w:rPr>
        <w:t xml:space="preserve">The Value of Academic Industry Bridge:</w:t>
      </w:r>
      <w:r>
        <w:t xml:space="preserve">In cities like Berlin, where academia and industry are closely linked, leveraging university networks is more effective than headhunting firms.</w:t>
      </w:r>
    </w:p>
    <w:p>
      <w:pPr>
        <w:numPr>
          <w:ilvl w:val="0"/>
          <w:numId w:val="1007"/>
        </w:numPr>
        <w:pStyle w:val="Compact"/>
      </w:pPr>
      <w:r>
        <w:rPr>
          <w:bCs/>
          <w:b/>
        </w:rPr>
        <w:t xml:space="preserve">Cross-Disciplinary Communication:</w:t>
      </w:r>
      <w:r>
        <w:t xml:space="preserve">A physicist’s value is maximized only when they can effectively translate their knowledge for engineers. Soft skills are as important as technical expertise in</w:t>
      </w:r>
      <w:r>
        <w:t xml:space="preserve"> </w:t>
      </w:r>
      <w:r>
        <w:rPr>
          <w:bCs/>
          <w:b/>
        </w:rPr>
        <w:t xml:space="preserve">Germany Berlin</w:t>
      </w:r>
      <w:r>
        <w:t xml:space="preserve">.</w:t>
      </w:r>
    </w:p>
    <w:p>
      <w:pPr>
        <w:numPr>
          <w:ilvl w:val="0"/>
          <w:numId w:val="1007"/>
        </w:numPr>
        <w:pStyle w:val="Compact"/>
      </w:pPr>
      <w:r>
        <w:rPr>
          <w:bCs/>
          <w:b/>
        </w:rPr>
        <w:t xml:space="preserve">Long-term Retention:</w:t>
      </w:r>
      <w:r>
        <w:t xml:space="preserve">Promising physicists often look for research prestige. Providing access to publications, conferences, and university collaborations is crucial for retention.</w:t>
      </w:r>
    </w:p>
    <w:bookmarkEnd w:id="35"/>
    <w:bookmarkStart w:id="39" w:name="future-recommendations"/>
    <w:p>
      <w:pPr>
        <w:pStyle w:val="Heading2"/>
      </w:pPr>
      <w:bookmarkStart w:id="36" w:name="future-recommendations"/>
      <w:bookmarkEnd w:id="36"/>
      <w:r>
        <w:t xml:space="preserve">Future Recommendations</w:t>
      </w:r>
    </w:p>
    <w:p>
      <w:pPr>
        <w:pStyle w:val="FirstParagraph"/>
      </w:pPr>
      <w:r>
        <w:t xml:space="preserve">Based on the success of integrating a</w:t>
      </w:r>
      <w:r>
        <w:t xml:space="preserve"> </w:t>
      </w:r>
      <w:r>
        <w:rPr>
          <w:bCs/>
          <w:b/>
        </w:rPr>
        <w:t xml:space="preserve">Physicist</w:t>
      </w:r>
      <w:r>
        <w:t xml:space="preserve">, QuantumLeap Dynamics recommends expanding its R&amp;D footprint in</w:t>
      </w:r>
      <w:r>
        <w:t xml:space="preserve"> </w:t>
      </w:r>
      <w:r>
        <w:rPr>
          <w:bCs/>
          <w:b/>
        </w:rPr>
        <w:t xml:space="preserve">Germany Berlin</w:t>
      </w:r>
      <w:r>
        <w:t xml:space="preserve">. Further investment in quantum simulation software and hiring additional physicists for materials science will solidify their market position. Additionally, the company should consider establishing a formal internship program with TU Berlin to cultivate future talent.</w:t>
      </w:r>
    </w:p>
    <w:p>
      <w:pPr>
        <w:pStyle w:val="BodyText"/>
      </w:pPr>
      <w:r>
        <w:t xml:space="preserve">In conclusion, the successful integration of high-level scientific expertise into a corporate structure requires careful strategic planning, cultural sensitivity, and an understanding of the local ecosystem. For companies in</w:t>
      </w:r>
      <w:r>
        <w:t xml:space="preserve"> </w:t>
      </w:r>
      <w:r>
        <w:rPr>
          <w:bCs/>
          <w:b/>
        </w:rPr>
        <w:t xml:space="preserve">Germany Berlin</w:t>
      </w:r>
      <w:r>
        <w:t xml:space="preserve">, tapping into the rich academic heritage of physicists like Dr. Vogel offers a significant competitive advantage in an increasingly complex technological landscape.</w:t>
      </w:r>
    </w:p>
    <w:bookmarkStart w:id="38" w:name="references-and-disclaimer"/>
    <w:p>
      <w:pPr>
        <w:pStyle w:val="Heading3"/>
      </w:pPr>
      <w:bookmarkStart w:id="37" w:name="references"/>
      <w:bookmarkEnd w:id="37"/>
      <w:r>
        <w:t xml:space="preserve">References and Disclaimer</w:t>
      </w:r>
    </w:p>
    <w:p>
      <w:pPr>
        <w:pStyle w:val="FirstParagraph"/>
      </w:pPr>
      <w:r>
        <w:rPr>
          <w:iCs/>
          <w:i/>
        </w:rPr>
        <w:t xml:space="preserve">Note:</w:t>
      </w:r>
      <w:r>
        <w:t xml:space="preserve"> </w:t>
      </w:r>
      <w:r>
        <w:t xml:space="preserve">This case study is a fictional representation designed to illustrate best practices in hiring physicists within the specific context of Germany Berlin. Names, companies, and specific data points have been anonymized or created for illustrative purposes.</w:t>
      </w:r>
    </w:p>
    <w:p>
      <w:pPr>
        <w:pStyle w:val="BodyText"/>
      </w:pPr>
      <w:r>
        <w:t xml:space="preserve">All rights reserved. No part of this document may be reproduced without written permission.</w:t>
      </w:r>
    </w:p>
    <w:bookmarkEnd w:id="38"/>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2026-07-29T16:33:20Z</dcterms:created>
  <dcterms:modified xsi:type="dcterms:W3CDTF">2026-07-29T16:33:20Z</dcterms:modified>
</cp:coreProperties>
</file>

<file path=docProps/custom.xml><?xml version="1.0" encoding="utf-8"?>
<Properties xmlns="http://schemas.openxmlformats.org/officeDocument/2006/custom-properties" xmlns:vt="http://schemas.openxmlformats.org/officeDocument/2006/docPropsVTypes"/>
</file>