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Physiotherapy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47" w:name="case-study-report"/>
    <w:p>
      <w:pPr>
        <w:pStyle w:val="Heading1"/>
      </w:pPr>
      <w:r>
        <w:t xml:space="preserve">Case Study Report:</w:t>
      </w:r>
    </w:p>
    <w:p>
      <w:pPr>
        <w:pStyle w:val="FirstParagraph"/>
      </w:pPr>
      <w:r>
        <w:rPr>
          <w:bCs/>
          <w:b/>
        </w:rPr>
        <w:t xml:space="preserve">Title:</w:t>
      </w:r>
    </w:p>
    <w:bookmarkStart w:id="22" w:name="X8fcdb6bae941ab5a573d99cc67b674cba2c7df1"/>
    <w:p>
      <w:pPr>
        <w:pStyle w:val="Heading2"/>
      </w:pPr>
      <w:r>
        <w:t xml:space="preserve">Redefining Recovery: The Impact of Specialized Physiotherapist Intervention in the Demographic Landscape of New Zealand Wellington</w:t>
      </w:r>
    </w:p>
    <w:p>
      <w:pPr>
        <w:pStyle w:val="FirstParagraph"/>
      </w:pPr>
      <w:r>
        <w:rPr>
          <w:bCs/>
          <w:b/>
        </w:rPr>
        <w:t xml:space="preserve">Date:</w:t>
      </w:r>
      <w:r>
        <w:t xml:space="preserve"> </w:t>
      </w:r>
      <w:r>
        <w:t xml:space="preserve">October 2023</w:t>
      </w:r>
      <w:r>
        <w:br/>
      </w:r>
      <w:r>
        <w:rPr>
          <w:bCs/>
          <w:b/>
        </w:rPr>
        <w:t xml:space="preserve">Location Focus:</w:t>
      </w:r>
    </w:p>
    <w:bookmarkStart w:id="21" w:name="new-zealand-wellington"/>
    <w:p>
      <w:pPr>
        <w:pStyle w:val="Heading3"/>
      </w:pPr>
      <w:r>
        <w:t xml:space="preserve">New Zealand Wellington</w:t>
      </w:r>
    </w:p>
    <w:p>
      <w:pPr>
        <w:pStyle w:val="FirstParagraph"/>
      </w:pPr>
      <w:r>
        <w:br/>
      </w:r>
    </w:p>
    <w:p>
      <w:pPr>
        <w:pStyle w:val="BodyText"/>
      </w:pPr>
      <w:r>
        <w:rPr>
          <w:bCs/>
          <w:b/>
        </w:rPr>
        <w:t xml:space="preserve">Subject:</w:t>
      </w:r>
    </w:p>
    <w:bookmarkStart w:id="20" w:name="Xd4924893ea3eb512c98346e2535a9aeff34d641"/>
    <w:p>
      <w:pPr>
        <w:pStyle w:val="Heading4"/>
      </w:pPr>
      <w:r>
        <w:t xml:space="preserve">The Role and Evolution of the Physiotherapist in Urban Community Health</w:t>
      </w:r>
    </w:p>
    <w:bookmarkEnd w:id="20"/>
    <w:bookmarkEnd w:id="21"/>
    <w:bookmarkEnd w:id="22"/>
    <w:bookmarkStart w:id="23" w:name="executive-summary"/>
    <w:p>
      <w:pPr>
        <w:pStyle w:val="Heading2"/>
      </w:pPr>
      <w:r>
        <w:t xml:space="preserve">1. Executive Summary</w:t>
      </w:r>
    </w:p>
    <w:p>
      <w:pPr>
        <w:pStyle w:val="FirstParagraph"/>
      </w:pPr>
      <w:r>
        <w:t xml:space="preserve">This document presents a comprehensive case study analyzing the critical role of the</w:t>
      </w:r>
      <w:r>
        <w:t xml:space="preserve"> </w:t>
      </w:r>
      <w:r>
        <w:rPr>
          <w:bCs/>
          <w:b/>
        </w:rPr>
        <w:t xml:space="preserve">Physiotherapist</w:t>
      </w:r>
      <w:r>
        <w:t xml:space="preserve"> </w:t>
      </w:r>
      <w:r>
        <w:t xml:space="preserve">within the healthcare ecosystem of Wellington, New Zealand. As an urban center with unique demographic challenges and geographical constraints, Wellington presents a distinct set of requirements for musculoskeletal and neurological rehabilitation services. This case study explores how local clinics have adapted their</w:t>
      </w:r>
      <w:r>
        <w:t xml:space="preserve"> </w:t>
      </w:r>
      <w:r>
        <w:rPr>
          <w:bCs/>
          <w:b/>
        </w:rPr>
        <w:t xml:space="preserve">Physiotherapist</w:t>
      </w:r>
      <w:r>
        <w:t xml:space="preserve"> </w:t>
      </w:r>
      <w:r>
        <w:t xml:space="preserve">methodologies to serve the diverse population of</w:t>
      </w:r>
      <w:r>
        <w:t xml:space="preserve"> </w:t>
      </w:r>
      <w:r>
        <w:rPr>
          <w:bCs/>
          <w:b/>
        </w:rPr>
        <w:t xml:space="preserve">New Zealand Wellington</w:t>
      </w:r>
      <w:r>
        <w:t xml:space="preserve">, ranging from aging residents in the northern suburbs to active professionals in the central business district.</w:t>
      </w:r>
    </w:p>
    <w:bookmarkEnd w:id="23"/>
    <w:bookmarkStart w:id="27" w:name="background-and-context"/>
    <w:p>
      <w:pPr>
        <w:pStyle w:val="Heading2"/>
      </w:pPr>
      <w:r>
        <w:t xml:space="preserve">2. Background and Context</w:t>
      </w:r>
    </w:p>
    <w:p>
      <w:pPr>
        <w:pStyle w:val="FirstParagraph"/>
      </w:pPr>
      <w:r>
        <w:rPr>
          <w:bCs/>
          <w:b/>
        </w:rPr>
        <w:t xml:space="preserve">New Zealand Wellington</w:t>
      </w:r>
      <w:r>
        <w:t xml:space="preserve">, often referred to simply as "Wellywood" or by its Māori name Te Whanganui-a-Tara, is a city characterized by steep hills, vibrant culture, and a high density of population relative to other regions in New Zealand. The healthcare landscape in this region is influenced by the national framework provided by Te Whatu Ora (Health New Zealand), yet local implementation varies significantly.</w:t>
      </w:r>
    </w:p>
    <w:p>
      <w:pPr>
        <w:pStyle w:val="BodyText"/>
      </w:pPr>
      <w:r>
        <w:t xml:space="preserve">The demand for physiotherapy services in</w:t>
      </w:r>
      <w:r>
        <w:t xml:space="preserve"> </w:t>
      </w:r>
      <w:r>
        <w:rPr>
          <w:bCs/>
          <w:b/>
        </w:rPr>
        <w:t xml:space="preserve">New Zealand Wellington</w:t>
      </w:r>
      <w:r>
        <w:t xml:space="preserve"> </w:t>
      </w:r>
      <w:r>
        <w:t xml:space="preserve">has risen due to several factors:</w:t>
      </w:r>
    </w:p>
    <w:p>
      <w:pPr>
        <w:numPr>
          <w:ilvl w:val="0"/>
          <w:numId w:val="1001"/>
        </w:numPr>
      </w:pPr>
      <w:r>
        <w:rPr>
          <w:bCs/>
          <w:b/>
        </w:rPr>
        <w:t xml:space="preserve">Aging Population:</w:t>
      </w:r>
    </w:p>
    <w:p>
      <w:pPr>
        <w:numPr>
          <w:ilvl w:val="0"/>
          <w:numId w:val="1000"/>
        </w:numPr>
        <w:pStyle w:val="Heading4"/>
      </w:pPr>
      <w:bookmarkStart w:id="24" w:name="demographic-shifts"/>
      <w:r>
        <w:t xml:space="preserve">Demographic Shifts</w:t>
      </w:r>
      <w:bookmarkEnd w:id="24"/>
    </w:p>
    <w:p>
      <w:pPr>
        <w:numPr>
          <w:ilvl w:val="0"/>
          <w:numId w:val="1000"/>
        </w:numPr>
      </w:pPr>
      <w:r>
        <w:t xml:space="preserve">In areas such as Upper Hutt and Porirua, which are part of the greater Wellington region, there is a significant increase in elderly patients requiring fall prevention and mobility support.</w:t>
      </w:r>
    </w:p>
    <w:p>
      <w:pPr>
        <w:numPr>
          <w:ilvl w:val="0"/>
          <w:numId w:val="1001"/>
        </w:numPr>
      </w:pPr>
      <w:r>
        <w:rPr>
          <w:bCs/>
          <w:b/>
        </w:rPr>
        <w:t xml:space="preserve">Active Lifestyle Culture:</w:t>
      </w:r>
    </w:p>
    <w:p>
      <w:pPr>
        <w:numPr>
          <w:ilvl w:val="0"/>
          <w:numId w:val="1000"/>
        </w:numPr>
        <w:pStyle w:val="Heading4"/>
      </w:pPr>
      <w:bookmarkStart w:id="25" w:name="sports-participation-rates"/>
      <w:r>
        <w:t xml:space="preserve">Sports Participation Rates</w:t>
      </w:r>
      <w:bookmarkEnd w:id="25"/>
    </w:p>
    <w:p>
      <w:pPr>
        <w:numPr>
          <w:ilvl w:val="0"/>
          <w:numId w:val="1000"/>
        </w:numPr>
      </w:pPr>
      <w:r>
        <w:t xml:space="preserve">The capital city boasts high participation rates in rugby, netball, and outdoor activities like hiking on the Kahu Kahu tracks. This leads to a higher incidence of acute sports injuries requiring immediate</w:t>
      </w:r>
      <w:r>
        <w:t xml:space="preserve"> </w:t>
      </w:r>
      <w:r>
        <w:rPr>
          <w:bCs/>
          <w:b/>
        </w:rPr>
        <w:t xml:space="preserve">Physiotherapist</w:t>
      </w:r>
      <w:r>
        <w:t xml:space="preserve"> </w:t>
      </w:r>
      <w:r>
        <w:t xml:space="preserve">intervention.</w:t>
      </w:r>
    </w:p>
    <w:p>
      <w:pPr>
        <w:numPr>
          <w:ilvl w:val="0"/>
          <w:numId w:val="1001"/>
        </w:numPr>
      </w:pPr>
      <w:r>
        <w:rPr>
          <w:bCs/>
          <w:b/>
        </w:rPr>
        <w:t xml:space="preserve">Sedentary Workforce:</w:t>
      </w:r>
    </w:p>
    <w:p>
      <w:pPr>
        <w:numPr>
          <w:ilvl w:val="0"/>
          <w:numId w:val="1000"/>
        </w:numPr>
        <w:pStyle w:val="Heading4"/>
      </w:pPr>
      <w:bookmarkStart w:id="26" w:name="ergonomic-challenges"/>
      <w:r>
        <w:t xml:space="preserve">Ergonomic Challenges</w:t>
      </w:r>
      <w:bookmarkEnd w:id="26"/>
    </w:p>
    <w:p>
      <w:pPr>
        <w:numPr>
          <w:ilvl w:val="0"/>
          <w:numId w:val="1000"/>
        </w:numPr>
      </w:pPr>
      <w:r>
        <w:t xml:space="preserve">The shift towards remote and hybrid work models post-pandemic has resulted in a surge in cases related to poor posture, chronic back pain, and repetitive strain injuries among the professional workforce.</w:t>
      </w:r>
    </w:p>
    <w:bookmarkEnd w:id="27"/>
    <w:bookmarkStart w:id="31" w:name="Xcbd194c116076a8b7b0ee00a1abc908b7abf2cd"/>
    <w:p>
      <w:pPr>
        <w:pStyle w:val="Heading2"/>
      </w:pPr>
      <w:r>
        <w:t xml:space="preserve">3. The Role of the Physiotherapist in Wellington</w:t>
      </w:r>
    </w:p>
    <w:p>
      <w:pPr>
        <w:pStyle w:val="FirstParagraph"/>
      </w:pPr>
      <w:r>
        <w:t xml:space="preserve">In this case study, we examine the multifaceted role of the</w:t>
      </w:r>
      <w:r>
        <w:t xml:space="preserve"> </w:t>
      </w:r>
      <w:r>
        <w:rPr>
          <w:bCs/>
          <w:b/>
        </w:rPr>
        <w:t xml:space="preserve">Physiotherapist</w:t>
      </w:r>
      <w:r>
        <w:t xml:space="preserve">. In</w:t>
      </w:r>
      <w:r>
        <w:t xml:space="preserve"> </w:t>
      </w:r>
      <w:r>
        <w:rPr>
          <w:bCs/>
          <w:b/>
        </w:rPr>
        <w:t xml:space="preserve">New Zealand Wellington</w:t>
      </w:r>
      <w:r>
        <w:t xml:space="preserve">, physiotherapists are not merely reactive practitioners who treat injuries after they occur; they are increasingly proactive partners in community health and wellness.</w:t>
      </w:r>
    </w:p>
    <w:bookmarkStart w:id="28" w:name="musculoskeletal-rehabilitation"/>
    <w:p>
      <w:pPr>
        <w:pStyle w:val="Heading3"/>
      </w:pPr>
      <w:r>
        <w:t xml:space="preserve">3.1 Musculoskeletal Rehabilitation</w:t>
      </w:r>
    </w:p>
    <w:p>
      <w:pPr>
        <w:pStyle w:val="FirstParagraph"/>
      </w:pPr>
      <w:r>
        <w:t xml:space="preserve">The majority of referrals to a</w:t>
      </w:r>
      <w:r>
        <w:t xml:space="preserve"> </w:t>
      </w:r>
      <w:r>
        <w:rPr>
          <w:bCs/>
          <w:b/>
        </w:rPr>
        <w:t xml:space="preserve">Physiotherapist</w:t>
      </w:r>
      <w:r>
        <w:t xml:space="preserve"> </w:t>
      </w:r>
      <w:r>
        <w:t xml:space="preserve">in Wellington originate from musculoskeletal issues. Common conditions include lower back pain, neck strain, and osteoarthritis. The steep topography of the city means that many residents navigate significant inclines daily, placing unique stresses on knees and hips. Local</w:t>
      </w:r>
      <w:r>
        <w:t xml:space="preserve"> </w:t>
      </w:r>
      <w:r>
        <w:rPr>
          <w:bCs/>
          <w:b/>
        </w:rPr>
        <w:t xml:space="preserve">Physiotherapist</w:t>
      </w:r>
      <w:r>
        <w:t xml:space="preserve"> </w:t>
      </w:r>
      <w:r>
        <w:t xml:space="preserve">providers have specialized in gait analysis and strength training tailored to uneven terrain recovery.</w:t>
      </w:r>
    </w:p>
    <w:bookmarkEnd w:id="28"/>
    <w:bookmarkStart w:id="29" w:name="neurological-physiotherapy"/>
    <w:p>
      <w:pPr>
        <w:pStyle w:val="Heading3"/>
      </w:pPr>
      <w:r>
        <w:t xml:space="preserve">3.2 Neurological Physiotherapy</w:t>
      </w:r>
    </w:p>
    <w:p>
      <w:pPr>
        <w:pStyle w:val="FirstParagraph"/>
      </w:pPr>
      <w:r>
        <w:t xml:space="preserve">A significant portion of the Wellington population suffers from neurological conditions such as stroke, Parkinson’s disease, and Multiple Sclerosis (MS). The Wellington region has established specialized neuro-rehabilitation centers where the</w:t>
      </w:r>
      <w:r>
        <w:t xml:space="preserve"> </w:t>
      </w:r>
      <w:r>
        <w:rPr>
          <w:bCs/>
          <w:b/>
        </w:rPr>
        <w:t xml:space="preserve">Physiotherapist</w:t>
      </w:r>
      <w:r>
        <w:t xml:space="preserve"> </w:t>
      </w:r>
      <w:r>
        <w:t xml:space="preserve">works closely with occupational therapists and speech pathologists. This interdisciplinary approach ensures holistic care for patients in</w:t>
      </w:r>
      <w:r>
        <w:t xml:space="preserve"> </w:t>
      </w:r>
      <w:r>
        <w:rPr>
          <w:bCs/>
          <w:b/>
        </w:rPr>
        <w:t xml:space="preserve">New Zealand Wellington</w:t>
      </w:r>
      <w:r>
        <w:t xml:space="preserve">, focusing on maximizing independence and quality of life.</w:t>
      </w:r>
    </w:p>
    <w:bookmarkEnd w:id="29"/>
    <w:bookmarkStart w:id="30" w:name="pediatric-physiotherapy"/>
    <w:p>
      <w:pPr>
        <w:pStyle w:val="Heading3"/>
      </w:pPr>
      <w:r>
        <w:t xml:space="preserve">3.3 Pediatric Physiotherapy</w:t>
      </w:r>
    </w:p>
    <w:p>
      <w:pPr>
        <w:pStyle w:val="FirstParagraph"/>
      </w:pPr>
      <w:r>
        <w:t xml:space="preserve">Growing awareness of developmental delays has led to an increased demand for pediatric physiotherapy. In suburbs like Miramar and Hataitai, community-based clinics offer early intervention services. Here, the</w:t>
      </w:r>
      <w:r>
        <w:t xml:space="preserve"> </w:t>
      </w:r>
      <w:r>
        <w:rPr>
          <w:bCs/>
          <w:b/>
        </w:rPr>
        <w:t xml:space="preserve">Physiotherapist</w:t>
      </w:r>
      <w:r>
        <w:t xml:space="preserve"> </w:t>
      </w:r>
      <w:r>
        <w:t xml:space="preserve">collaborates with schools and parents to address issues such as gross motor skill delays, toe-walking, and coordination deficits.</w:t>
      </w:r>
    </w:p>
    <w:bookmarkEnd w:id="30"/>
    <w:bookmarkEnd w:id="31"/>
    <w:bookmarkStart w:id="35" w:name="methodology-of-care-the-wellington-model"/>
    <w:p>
      <w:pPr>
        <w:pStyle w:val="Heading2"/>
      </w:pPr>
      <w:r>
        <w:t xml:space="preserve">4. Methodology of Care: The Wellington Model</w:t>
      </w:r>
    </w:p>
    <w:p>
      <w:pPr>
        <w:pStyle w:val="FirstParagraph"/>
      </w:pPr>
      <w:r>
        <w:t xml:space="preserve">The case study identifies three core pillars that define effective physiotherapy practice in this specific geographic context:</w:t>
      </w:r>
    </w:p>
    <w:p>
      <w:pPr>
        <w:numPr>
          <w:ilvl w:val="0"/>
          <w:numId w:val="1002"/>
        </w:numPr>
      </w:pPr>
      <w:r>
        <w:rPr>
          <w:bCs/>
          <w:b/>
        </w:rPr>
        <w:t xml:space="preserve">Evidence-Based Practice:</w:t>
      </w:r>
    </w:p>
    <w:p>
      <w:pPr>
        <w:numPr>
          <w:ilvl w:val="0"/>
          <w:numId w:val="1000"/>
        </w:numPr>
        <w:pStyle w:val="Heading4"/>
      </w:pPr>
      <w:bookmarkStart w:id="32" w:name="clinical-standards"/>
      <w:r>
        <w:t xml:space="preserve">Clinical Standards</w:t>
      </w:r>
      <w:bookmarkEnd w:id="32"/>
    </w:p>
    <w:p>
      <w:pPr>
        <w:numPr>
          <w:ilvl w:val="0"/>
          <w:numId w:val="1000"/>
        </w:numPr>
      </w:pPr>
      <w:r>
        <w:t xml:space="preserve">All licensed</w:t>
      </w:r>
      <w:r>
        <w:t xml:space="preserve"> </w:t>
      </w:r>
      <w:r>
        <w:rPr>
          <w:bCs/>
          <w:b/>
        </w:rPr>
        <w:t xml:space="preserve">Physiotherapist</w:t>
      </w:r>
      <w:r>
        <w:t xml:space="preserve">s in New Zealand are regulated by the Physiotherapy Board of New Zealand. In Wellington, clinics adhere strictly to these guidelines, ensuring that treatments are backed by current research. This is particularly important for chronic pain management, where a biopsychosocial model is preferred over purely mechanical interventions.</w:t>
      </w:r>
    </w:p>
    <w:p>
      <w:pPr>
        <w:numPr>
          <w:ilvl w:val="0"/>
          <w:numId w:val="1002"/>
        </w:numPr>
      </w:pPr>
      <w:r>
        <w:rPr>
          <w:bCs/>
          <w:b/>
        </w:rPr>
        <w:t xml:space="preserve">Taihoa and Te Whanaungatanga (Relationship Building):</w:t>
      </w:r>
    </w:p>
    <w:p>
      <w:pPr>
        <w:numPr>
          <w:ilvl w:val="0"/>
          <w:numId w:val="1000"/>
        </w:numPr>
        <w:pStyle w:val="Heading4"/>
      </w:pPr>
      <w:bookmarkStart w:id="33" w:name="cultural-competency"/>
      <w:r>
        <w:t xml:space="preserve">Cultural Competency</w:t>
      </w:r>
      <w:bookmarkEnd w:id="33"/>
    </w:p>
    <w:p>
      <w:pPr>
        <w:numPr>
          <w:ilvl w:val="0"/>
          <w:numId w:val="1000"/>
        </w:numPr>
      </w:pPr>
      <w:r>
        <w:t xml:space="preserve">Recognizing the indigenous population of</w:t>
      </w:r>
      <w:r>
        <w:t xml:space="preserve"> </w:t>
      </w:r>
      <w:r>
        <w:rPr>
          <w:bCs/>
          <w:b/>
        </w:rPr>
        <w:t xml:space="preserve">New Zealand Wellington</w:t>
      </w:r>
      <w:r>
        <w:t xml:space="preserve">, many practices have integrated Māori concepts of health. The concept of *Te Whanaungatanga* (relationships) is vital in building trust between the patient and the</w:t>
      </w:r>
      <w:r>
        <w:t xml:space="preserve"> </w:t>
      </w:r>
      <w:r>
        <w:rPr>
          <w:bCs/>
          <w:b/>
        </w:rPr>
        <w:t xml:space="preserve">Physiotherapist</w:t>
      </w:r>
      <w:r>
        <w:t xml:space="preserve">. Clinics often engage with local Iwi (tribes) to ensure their services are culturally safe and respectful for Māori patients.</w:t>
      </w:r>
    </w:p>
    <w:p>
      <w:pPr>
        <w:numPr>
          <w:ilvl w:val="0"/>
          <w:numId w:val="1002"/>
        </w:numPr>
      </w:pPr>
      <w:r>
        <w:rPr>
          <w:bCs/>
          <w:b/>
        </w:rPr>
        <w:t xml:space="preserve">Digital Integration:</w:t>
      </w:r>
    </w:p>
    <w:p>
      <w:pPr>
        <w:numPr>
          <w:ilvl w:val="0"/>
          <w:numId w:val="1000"/>
        </w:numPr>
        <w:pStyle w:val="Heading4"/>
      </w:pPr>
      <w:bookmarkStart w:id="34" w:name="telehealth-expansion"/>
      <w:r>
        <w:t xml:space="preserve">Telehealth Expansion</w:t>
      </w:r>
      <w:bookmarkEnd w:id="34"/>
    </w:p>
    <w:p>
      <w:pPr>
        <w:numPr>
          <w:ilvl w:val="0"/>
          <w:numId w:val="1000"/>
        </w:numPr>
      </w:pPr>
      <w:r>
        <w:t xml:space="preserve">The geographic spread of the Hutt Valley and Porirua has driven the adoption of telehealth. Many</w:t>
      </w:r>
      <w:r>
        <w:t xml:space="preserve"> </w:t>
      </w:r>
      <w:r>
        <w:rPr>
          <w:bCs/>
          <w:b/>
        </w:rPr>
        <w:t xml:space="preserve">Physiotherapist</w:t>
      </w:r>
      <w:r>
        <w:t xml:space="preserve">s in Wellington now offer virtual consultations for initial assessments and follow-ups. This accessibility model ensures that patients with mobility issues or those living in remote parts of the region can still receive expert advice without traveling across city bridges.</w:t>
      </w:r>
    </w:p>
    <w:bookmarkEnd w:id="35"/>
    <w:bookmarkStart w:id="43" w:name="case-scenario-james-a-composite-profile"/>
    <w:p>
      <w:pPr>
        <w:pStyle w:val="Heading2"/>
      </w:pPr>
      <w:r>
        <w:t xml:space="preserve">5. Case Scenario: "James" – A Composite Profile</w:t>
      </w:r>
    </w:p>
    <w:p>
      <w:pPr>
        <w:pStyle w:val="FirstParagraph"/>
      </w:pPr>
      <w:r>
        <w:t xml:space="preserve">To illustrate these concepts, we present a composite case scenario based on real-world data from Wellington clinics.</w:t>
      </w:r>
    </w:p>
    <w:p>
      <w:pPr>
        <w:pStyle w:val="BodyText"/>
      </w:pPr>
      <w:r>
        <w:rPr>
          <w:bCs/>
          <w:b/>
        </w:rPr>
        <w:t xml:space="preserve">Patient Profile:</w:t>
      </w:r>
    </w:p>
    <w:bookmarkStart w:id="39" w:name="name-james"/>
    <w:p>
      <w:pPr>
        <w:pStyle w:val="Heading4"/>
      </w:pPr>
      <w:r>
        <w:t xml:space="preserve">Name: James</w:t>
      </w:r>
    </w:p>
    <w:p>
      <w:pPr>
        <w:pStyle w:val="FirstParagraph"/>
      </w:pPr>
      <w:r>
        <w:br/>
      </w:r>
    </w:p>
    <w:p>
      <w:pPr>
        <w:numPr>
          <w:ilvl w:val="0"/>
          <w:numId w:val="1003"/>
        </w:numPr>
      </w:pPr>
      <w:r>
        <w:rPr>
          <w:bCs/>
          <w:b/>
        </w:rPr>
        <w:t xml:space="preserve">Age:</w:t>
      </w:r>
    </w:p>
    <w:p>
      <w:pPr>
        <w:numPr>
          <w:ilvl w:val="0"/>
          <w:numId w:val="1000"/>
        </w:numPr>
        <w:pStyle w:val="Heading5"/>
      </w:pPr>
      <w:bookmarkStart w:id="36" w:name="demographic-data"/>
      <w:r>
        <w:t xml:space="preserve">Demographic Data</w:t>
      </w:r>
      <w:bookmarkEnd w:id="36"/>
    </w:p>
    <w:p>
      <w:pPr>
        <w:numPr>
          <w:ilvl w:val="0"/>
          <w:numId w:val="1000"/>
        </w:numPr>
      </w:pPr>
      <w:r>
        <w:t xml:space="preserve">68 years old</w:t>
      </w:r>
      <w:r>
        <w:br/>
      </w:r>
    </w:p>
    <w:p>
      <w:pPr>
        <w:numPr>
          <w:ilvl w:val="0"/>
          <w:numId w:val="1003"/>
        </w:numPr>
      </w:pPr>
      <w:r>
        <w:rPr>
          <w:bCs/>
          <w:b/>
        </w:rPr>
        <w:t xml:space="preserve">Lifestyle:</w:t>
      </w:r>
    </w:p>
    <w:p>
      <w:pPr>
        <w:numPr>
          <w:ilvl w:val="0"/>
          <w:numId w:val="1000"/>
        </w:numPr>
        <w:pStyle w:val="Heading5"/>
      </w:pPr>
      <w:bookmarkStart w:id="37" w:name="social-history"/>
      <w:r>
        <w:t xml:space="preserve">Social History</w:t>
      </w:r>
      <w:bookmarkEnd w:id="37"/>
    </w:p>
    <w:p>
      <w:pPr>
        <w:numPr>
          <w:ilvl w:val="0"/>
          <w:numId w:val="1000"/>
        </w:numPr>
      </w:pPr>
      <w:r>
        <w:t xml:space="preserve">Retired architect living in the Hutt Valley, enjoys gardening and walking on flat park paths.</w:t>
      </w:r>
      <w:r>
        <w:br/>
      </w:r>
    </w:p>
    <w:p>
      <w:pPr>
        <w:numPr>
          <w:ilvl w:val="0"/>
          <w:numId w:val="1003"/>
        </w:numPr>
      </w:pPr>
      <w:r>
        <w:rPr>
          <w:bCs/>
          <w:b/>
        </w:rPr>
        <w:t xml:space="preserve">Presenting Complaint:</w:t>
      </w:r>
    </w:p>
    <w:p>
      <w:pPr>
        <w:numPr>
          <w:ilvl w:val="0"/>
          <w:numId w:val="1000"/>
        </w:numPr>
        <w:pStyle w:val="Heading5"/>
      </w:pPr>
      <w:bookmarkStart w:id="38" w:name="clinical-presentation"/>
      <w:r>
        <w:t xml:space="preserve">Clinical Presentation</w:t>
      </w:r>
      <w:bookmarkEnd w:id="38"/>
    </w:p>
    <w:p>
      <w:pPr>
        <w:numPr>
          <w:ilvl w:val="0"/>
          <w:numId w:val="1000"/>
        </w:numPr>
      </w:pPr>
      <w:r>
        <w:t xml:space="preserve">Chronic knee pain limiting ability to climb stairs and garden. Previous diagnosis of early-stage osteoarthritis.</w:t>
      </w:r>
    </w:p>
    <w:p>
      <w:pPr>
        <w:pStyle w:val="FirstParagraph"/>
      </w:pPr>
      <w:r>
        <w:rPr>
          <w:bCs/>
          <w:b/>
        </w:rPr>
        <w:t xml:space="preserve">The Physiotherapist Intervention:</w:t>
      </w:r>
    </w:p>
    <w:bookmarkEnd w:id="39"/>
    <w:bookmarkStart w:id="41" w:name="treatment-plan"/>
    <w:p>
      <w:pPr>
        <w:pStyle w:val="Heading4"/>
      </w:pPr>
      <w:r>
        <w:t xml:space="preserve">Treatment Plan</w:t>
      </w:r>
    </w:p>
    <w:p>
      <w:pPr>
        <w:pStyle w:val="FirstParagraph"/>
      </w:pPr>
      <w:r>
        <w:t xml:space="preserve">The local</w:t>
      </w:r>
      <w:r>
        <w:t xml:space="preserve"> </w:t>
      </w:r>
      <w:r>
        <w:rPr>
          <w:bCs/>
          <w:b/>
        </w:rPr>
        <w:t xml:space="preserve">Physiotherapist</w:t>
      </w:r>
      <w:r>
        <w:t xml:space="preserve"> </w:t>
      </w:r>
      <w:r>
        <w:t xml:space="preserve">conducted a thorough assessment, noting weak quadriceps and tight hamstrings exacerbated by the slight incline of James’s driveway. The treatment plan included:</w:t>
      </w:r>
    </w:p>
    <w:p>
      <w:pPr>
        <w:numPr>
          <w:ilvl w:val="0"/>
          <w:numId w:val="1004"/>
        </w:numPr>
      </w:pPr>
      <w:r>
        <w:rPr>
          <w:bCs/>
          <w:b/>
        </w:rPr>
        <w:t xml:space="preserve">Mechanical Therapy:</w:t>
      </w:r>
    </w:p>
    <w:p>
      <w:pPr>
        <w:numPr>
          <w:ilvl w:val="0"/>
          <w:numId w:val="1000"/>
        </w:numPr>
        <w:pStyle w:val="Heading5"/>
      </w:pPr>
      <w:bookmarkStart w:id="40" w:name="tactical-interventions"/>
      <w:r>
        <w:t xml:space="preserve">Tactical Interventions</w:t>
      </w:r>
      <w:bookmarkEnd w:id="40"/>
    </w:p>
    <w:p>
      <w:pPr>
        <w:numPr>
          <w:ilvl w:val="0"/>
          <w:numId w:val="1000"/>
        </w:numPr>
      </w:pPr>
      <w:r>
        <w:t xml:space="preserve">Gentle manual therapy to improve joint mobility.</w:t>
      </w:r>
      <w:r>
        <w:br/>
      </w:r>
    </w:p>
    <w:p>
      <w:pPr>
        <w:numPr>
          <w:ilvl w:val="0"/>
          <w:numId w:val="1004"/>
        </w:numPr>
        <w:pStyle w:val="Compact"/>
      </w:pPr>
      <w:r>
        <w:rPr>
          <w:bCs/>
          <w:b/>
        </w:rPr>
        <w:t xml:space="preserve">Exercise Prescription:</w:t>
      </w:r>
    </w:p>
    <w:p>
      <w:pPr>
        <w:numPr>
          <w:ilvl w:val="0"/>
          <w:numId w:val="1000"/>
        </w:numPr>
        <w:pStyle w:val="Compact"/>
      </w:pPr>
      <w:r>
        <w:t xml:space="preserve">Holistic ApproachA tailored home exercise program focusing on strengthening the supporting muscles around the knee, designed specifically for a suburban environment with mild gradients.</w:t>
      </w:r>
      <w:r>
        <w:br/>
      </w:r>
    </w:p>
    <w:p>
      <w:pPr>
        <w:numPr>
          <w:ilvl w:val="0"/>
          <w:numId w:val="1004"/>
        </w:numPr>
        <w:pStyle w:val="Compact"/>
      </w:pPr>
      <w:r>
        <w:rPr>
          <w:bCs/>
          <w:b/>
        </w:rPr>
        <w:t xml:space="preserve">Educational Component:</w:t>
      </w:r>
    </w:p>
    <w:p>
      <w:pPr>
        <w:numPr>
          <w:ilvl w:val="0"/>
          <w:numId w:val="1000"/>
        </w:numPr>
        <w:pStyle w:val="Compact"/>
      </w:pPr>
      <w:r>
        <w:t xml:space="preserve">Patient EmpowermentEducation on pacing activities and ergonomic gardening techniques.</w:t>
      </w:r>
    </w:p>
    <w:p>
      <w:pPr>
        <w:pStyle w:val="FirstParagraph"/>
      </w:pPr>
      <w:r>
        <w:rPr>
          <w:bCs/>
          <w:b/>
        </w:rPr>
        <w:t xml:space="preserve">Outcome:</w:t>
      </w:r>
    </w:p>
    <w:bookmarkEnd w:id="41"/>
    <w:bookmarkStart w:id="42" w:name="evaluation-results"/>
    <w:p>
      <w:pPr>
        <w:pStyle w:val="Heading4"/>
      </w:pPr>
      <w:r>
        <w:t xml:space="preserve">Evaluation Results</w:t>
      </w:r>
    </w:p>
    <w:p>
      <w:pPr>
        <w:pStyle w:val="FirstParagraph"/>
      </w:pPr>
      <w:r>
        <w:t xml:space="preserve">Six weeks later, James reported a 60% reduction in pain levels and returned to light gardening. The success of this case highlights the importance of contextualizing the</w:t>
      </w:r>
      <w:r>
        <w:t xml:space="preserve"> </w:t>
      </w:r>
      <w:r>
        <w:rPr>
          <w:bCs/>
          <w:b/>
        </w:rPr>
        <w:t xml:space="preserve">Physiotherapist</w:t>
      </w:r>
      <w:r>
        <w:t xml:space="preserve">'s advice to fit the specific lifestyle and geography of</w:t>
      </w:r>
      <w:r>
        <w:t xml:space="preserve"> </w:t>
      </w:r>
      <w:r>
        <w:rPr>
          <w:bCs/>
          <w:b/>
        </w:rPr>
        <w:t xml:space="preserve">New Zealand Wellington</w:t>
      </w:r>
      <w:r>
        <w:t xml:space="preserve">.</w:t>
      </w:r>
    </w:p>
    <w:bookmarkEnd w:id="42"/>
    <w:bookmarkEnd w:id="43"/>
    <w:bookmarkStart w:id="44" w:name="challenges-and-future-directions"/>
    <w:p>
      <w:pPr>
        <w:pStyle w:val="Heading2"/>
      </w:pPr>
      <w:r>
        <w:t xml:space="preserve">6. Challenges and Future Directions</w:t>
      </w:r>
    </w:p>
    <w:p>
      <w:pPr>
        <w:pStyle w:val="FirstParagraph"/>
      </w:pPr>
      <w:r>
        <w:t xml:space="preserve">Despite successes, challenges remain. Wait times for public-funded physiotherapy services can be long in</w:t>
      </w:r>
      <w:r>
        <w:t xml:space="preserve"> </w:t>
      </w:r>
      <w:r>
        <w:rPr>
          <w:bCs/>
          <w:b/>
        </w:rPr>
        <w:t xml:space="preserve">New Zealand Wellington</w:t>
      </w:r>
      <w:r>
        <w:t xml:space="preserve">. Additionally, there is a shortage of physiotherapists specializing in geriatric care due to high demand. To address this, local universities and clinics are collaborating to create more internship placements.</w:t>
      </w:r>
    </w:p>
    <w:p>
      <w:pPr>
        <w:pStyle w:val="BodyText"/>
      </w:pPr>
      <w:r>
        <w:t xml:space="preserve">The future for the</w:t>
      </w:r>
      <w:r>
        <w:t xml:space="preserve"> </w:t>
      </w:r>
      <w:r>
        <w:rPr>
          <w:bCs/>
          <w:b/>
        </w:rPr>
        <w:t xml:space="preserve">Physiotherapist</w:t>
      </w:r>
      <w:r>
        <w:t xml:space="preserve"> </w:t>
      </w:r>
      <w:r>
        <w:t xml:space="preserve">in this region involves greater integration with primary care centers. By embedding physiotherapists within General Practitioner (GP) practices, early intervention can become the norm rather than the exception. This proactive model aligns with Te Whatu Ora’s goals of preventative healthcare.</w:t>
      </w:r>
    </w:p>
    <w:bookmarkEnd w:id="44"/>
    <w:bookmarkStart w:id="45" w:name="conclusion"/>
    <w:p>
      <w:pPr>
        <w:pStyle w:val="Heading2"/>
      </w:pPr>
      <w:r>
        <w:t xml:space="preserve">7. Conclusion</w:t>
      </w:r>
    </w:p>
    <w:p>
      <w:pPr>
        <w:pStyle w:val="FirstParagraph"/>
      </w:pPr>
      <w:r>
        <w:t xml:space="preserve">The case study demonstrates that the</w:t>
      </w:r>
      <w:r>
        <w:t xml:space="preserve"> </w:t>
      </w:r>
      <w:r>
        <w:rPr>
          <w:bCs/>
          <w:b/>
        </w:rPr>
        <w:t xml:space="preserve">Physiotherapist</w:t>
      </w:r>
      <w:r>
        <w:t xml:space="preserve"> </w:t>
      </w:r>
      <w:r>
        <w:t xml:space="preserve">is an indispensable asset to public health in</w:t>
      </w:r>
      <w:r>
        <w:t xml:space="preserve"> </w:t>
      </w:r>
      <w:r>
        <w:rPr>
          <w:bCs/>
          <w:b/>
        </w:rPr>
        <w:t xml:space="preserve">New Zealand Wellington</w:t>
      </w:r>
      <w:r>
        <w:t xml:space="preserve">. Through a combination of clinical expertise, cultural sensitivity, and adaptive technologies, physiotherapists are helping residents navigate physical challenges with resilience. Whether addressing acute sports injuries in the city center or managing chronic conditions in the suburban valleys, the impact of high-quality physiotherapy is profound.</w:t>
      </w:r>
    </w:p>
    <w:p>
      <w:pPr>
        <w:pStyle w:val="BodyText"/>
      </w:pPr>
      <w:r>
        <w:t xml:space="preserve">As Wellington continues to grow and evolve, so too must its healthcare strategies. Investing in specialized training for</w:t>
      </w:r>
      <w:r>
        <w:t xml:space="preserve"> </w:t>
      </w:r>
      <w:r>
        <w:rPr>
          <w:bCs/>
          <w:b/>
        </w:rPr>
        <w:t xml:space="preserve">Physiotherapist</w:t>
      </w:r>
      <w:r>
        <w:t xml:space="preserve">s and expanding access to these services will ensure that all residents of</w:t>
      </w:r>
      <w:r>
        <w:t xml:space="preserve"> </w:t>
      </w:r>
      <w:r>
        <w:rPr>
          <w:bCs/>
          <w:b/>
        </w:rPr>
        <w:t xml:space="preserve">New Zealand Wellington</w:t>
      </w:r>
      <w:r>
        <w:t xml:space="preserve">, regardless of age or ability, can maintain an active and healthy lifestyle.</w:t>
      </w:r>
    </w:p>
    <w:bookmarkEnd w:id="45"/>
    <w:bookmarkStart w:id="46" w:name="references"/>
    <w:p>
      <w:pPr>
        <w:pStyle w:val="Heading2"/>
      </w:pPr>
      <w:r>
        <w:t xml:space="preserve">8. References</w:t>
      </w:r>
    </w:p>
    <w:p>
      <w:pPr>
        <w:pStyle w:val="FirstParagraph"/>
      </w:pPr>
      <w:r>
        <w:rPr>
          <w:iCs/>
          <w:i/>
        </w:rPr>
        <w:t xml:space="preserve">Note: For the purpose of this case study document, references are illustrative based on standard practices in the region.</w:t>
      </w:r>
    </w:p>
    <w:p>
      <w:pPr>
        <w:numPr>
          <w:ilvl w:val="0"/>
          <w:numId w:val="1005"/>
        </w:numPr>
        <w:pStyle w:val="Compact"/>
      </w:pPr>
      <w:r>
        <w:t xml:space="preserve">New Zealand Physiotherapy Board. (2023). *Scope of Practice and Registration Requirements*.</w:t>
      </w:r>
    </w:p>
    <w:p>
      <w:pPr>
        <w:numPr>
          <w:ilvl w:val="0"/>
          <w:numId w:val="1005"/>
        </w:numPr>
        <w:pStyle w:val="Compact"/>
      </w:pPr>
      <w:r>
        <w:t xml:space="preserve">Tevita, H., &amp; Smith, J. (2021). "Cultural Safety in Musculoskeletal Care: A Wellington Perspective." *New Zealand Journal of Physiotherapy*.</w:t>
      </w:r>
    </w:p>
    <w:p>
      <w:pPr>
        <w:numPr>
          <w:ilvl w:val="0"/>
          <w:numId w:val="1005"/>
        </w:numPr>
        <w:pStyle w:val="Compact"/>
      </w:pPr>
      <w:r>
        <w:t xml:space="preserve">Te Whatu Ora Wellington. (2023). *Regional Health Strategy 2023-2033*.</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Physiotherapy Services in New Zealand Wellington</dc:title>
  <dc:creator/>
  <dc:language>en</dc:language>
  <cp:keywords/>
  <dcterms:created xsi:type="dcterms:W3CDTF">2026-07-29T20:28:50Z</dcterms:created>
  <dcterms:modified xsi:type="dcterms:W3CDTF">2026-07-29T20:28:50Z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