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Political</w:t>
      </w:r>
      <w:r>
        <w:t xml:space="preserve"> </w:t>
      </w:r>
      <w:r>
        <w:t xml:space="preserve">Dynamics</w:t>
      </w:r>
      <w:r>
        <w:t xml:space="preserve"> </w:t>
      </w:r>
      <w:r>
        <w:t xml:space="preserve">in</w:t>
      </w:r>
      <w:r>
        <w:t xml:space="preserve"> </w:t>
      </w:r>
      <w:r>
        <w:t xml:space="preserve">Indonesia</w:t>
      </w:r>
      <w:r>
        <w:t xml:space="preserve"> </w:t>
      </w:r>
      <w:r>
        <w:t xml:space="preserve">Jakarta</w:t>
      </w:r>
    </w:p>
    <w:bookmarkStart w:id="26" w:name="Xa447685c657c1b3db83049ff02193d2dfbfb7ad"/>
    <w:p>
      <w:pPr>
        <w:pStyle w:val="Heading1"/>
      </w:pPr>
      <w:r>
        <w:t xml:space="preserve">The Urban Crucible: A Strategic Case Study of Politician Development in Indonesia Jakarta</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Indonesia, specifically the capital region of Jakarta</w:t>
      </w:r>
      <w:r>
        <w:br/>
      </w:r>
      <w:r>
        <w:rPr>
          <w:bCs/>
          <w:b/>
        </w:rPr>
        <w:t xml:space="preserve">Status:</w:t>
      </w:r>
    </w:p>
    <w:p>
      <w:pPr>
        <w:pStyle w:val="BodyText"/>
      </w:pPr>
      <w:r>
        <w:t xml:space="preserve">The rapid urbanization and demographic shifts in</w:t>
      </w:r>
      <w:r>
        <w:t xml:space="preserve"> </w:t>
      </w:r>
      <w:r>
        <w:rPr>
          <w:bCs/>
          <w:b/>
        </w:rPr>
        <w:t xml:space="preserve">Indonesia Jakarta</w:t>
      </w:r>
      <w:r>
        <w:t xml:space="preserve"> </w:t>
      </w:r>
      <w:r>
        <w:t xml:space="preserve">have created a complex landscape for political engagement. This document serves as an analytical</w:t>
      </w:r>
      <w:r>
        <w:t xml:space="preserve"> </w:t>
      </w:r>
      <w:r>
        <w:rPr>
          <w:bCs/>
          <w:b/>
        </w:rPr>
        <w:t xml:space="preserve">Case Study</w:t>
      </w:r>
      <w:r>
        <w:t xml:space="preserve">, exploring the multifaceted roles of a modern</w:t>
      </w:r>
    </w:p>
    <w:p>
      <w:pPr>
        <w:pStyle w:val="BodyText"/>
      </w:pPr>
      <w:r>
        <w:t xml:space="preserve">Politician operating within this dynamic environment. It is imperative to understand how local governance intersects with national policies in shaping the future of Indonesia's capital city.</w:t>
      </w:r>
    </w:p>
    <w:p>
      <w:pPr>
        <w:pStyle w:val="BodyText"/>
      </w:pPr>
      <w:r>
        <w:rPr>
          <w:bCs/>
          <w:b/>
        </w:rPr>
        <w:t xml:space="preserve">1. Introduction and Contextual Analysis: The Unique Challenge of Jakarta</w:t>
      </w:r>
    </w:p>
    <w:p>
      <w:pPr>
        <w:pStyle w:val="BodyText"/>
      </w:pPr>
      <w:r>
        <w:t xml:space="preserve">Jakarta represents one of Southeast Asia's most vibrant yet challenging political arenas. As the heart of</w:t>
      </w:r>
      <w:r>
        <w:t xml:space="preserve"> </w:t>
      </w:r>
      <w:r>
        <w:rPr>
          <w:bCs/>
          <w:b/>
        </w:rPr>
        <w:t xml:space="preserve">Indonesia</w:t>
      </w:r>
      <w:r>
        <w:t xml:space="preserve">, it serves as a microcosm for broader national issues, ranging from economic disparity to environmental sustainability. For any aspiring or current</w:t>
      </w:r>
    </w:p>
    <w:p>
      <w:pPr>
        <w:pStyle w:val="BodyText"/>
      </w:pPr>
      <w:r>
        <w:t xml:space="preserve">Politician aiming to make an impact here, understanding the nuances of Jakarta's diverse population is crucial.</w:t>
      </w:r>
    </w:p>
    <w:p>
      <w:pPr>
        <w:pStyle w:val="BodyText"/>
      </w:pPr>
      <w:r>
        <w:t xml:space="preserve">The city faces unique challenges such as traffic congestion, flooding due to land subsidence, and waste management issues. These are not just administrative problems but deeply political ones that require innovative solutions and strong leadership qualities from local representatives. The</w:t>
      </w:r>
      <w:r>
        <w:t xml:space="preserve"> </w:t>
      </w:r>
      <w:r>
        <w:rPr>
          <w:bCs/>
          <w:b/>
        </w:rPr>
        <w:t xml:space="preserve">Case Study</w:t>
      </w:r>
      <w:r>
        <w:t xml:space="preserve"> </w:t>
      </w:r>
      <w:r>
        <w:t xml:space="preserve">aims to dissect these interactions through a structured lens.</w:t>
      </w:r>
    </w:p>
    <w:p>
      <w:pPr>
        <w:pStyle w:val="BodyText"/>
      </w:pPr>
      <w:r>
        <w:rPr>
          <w:bCs/>
          <w:b/>
        </w:rPr>
        <w:t xml:space="preserve">2. Profile Overview: Who is the Modern Politician in Jakarta?</w:t>
      </w:r>
    </w:p>
    <w:p>
      <w:pPr>
        <w:pStyle w:val="BodyText"/>
      </w:pPr>
      <w:r>
        <w:t xml:space="preserve">In the context of this</w:t>
      </w:r>
      <w:r>
        <w:t xml:space="preserve"> </w:t>
      </w:r>
      <w:r>
        <w:rPr>
          <w:iCs/>
          <w:i/>
        </w:rPr>
        <w:t xml:space="preserve">Jakarta-focused analysis,</w:t>
      </w:r>
    </w:p>
    <w:p>
      <w:pPr>
        <w:pStyle w:val="BodyText"/>
      </w:pPr>
      <w:r>
        <w:t xml:space="preserve">A successful</w:t>
      </w:r>
      <w:r>
        <w:t xml:space="preserve"> </w:t>
      </w:r>
      <w:r>
        <w:rPr>
          <w:bCs/>
          <w:b/>
        </w:rPr>
        <w:t xml:space="preserve">Politician</w:t>
      </w:r>
      <w:r>
        <w:t xml:space="preserve"> </w:t>
      </w:r>
      <w:r>
        <w:t xml:space="preserve">in Jakarta needs more than charisma; they need data-driven strategies and community-centric approaches. Our case examines three key areas: communication style (digital vs traditional), policy focus (infrastructure vs social welfare), and coalition-building skills across party lines.</w:t>
      </w:r>
    </w:p>
    <w:bookmarkStart w:id="20" w:name="the-digital-age-of-political-campaigning"/>
    <w:p>
      <w:pPr>
        <w:pStyle w:val="Heading3"/>
      </w:pPr>
      <w:r>
        <w:t xml:space="preserve">2.1 The Digital Age of Political Campaigning</w:t>
      </w:r>
    </w:p>
    <w:p>
      <w:pPr>
        <w:pStyle w:val="FirstParagraph"/>
      </w:pPr>
      <w:r>
        <w:t xml:space="preserve">The rise of digital platforms has revolutionized how</w:t>
      </w:r>
    </w:p>
    <w:p>
      <w:pPr>
        <w:pStyle w:val="BodyText"/>
      </w:pPr>
      <w:r>
        <w:t xml:space="preserve">Politicians in</w:t>
      </w:r>
      <w:r>
        <w:t xml:space="preserve"> </w:t>
      </w:r>
      <w:r>
        <w:rPr>
          <w:bCs/>
          <w:b/>
        </w:rPr>
        <w:t xml:space="preserve">Jakarta</w:t>
      </w:r>
      <w:r>
        <w:t xml:space="preserve"> </w:t>
      </w:r>
      <w:r>
        <w:t xml:space="preserve">engage with constituents. Social media campaigns, online town halls, and virtual fundraising events have become standard practices.</w:t>
      </w:r>
    </w:p>
    <w:p>
      <w:pPr>
        <w:pStyle w:val="BodyText"/>
      </w:pPr>
      <w:r>
        <w:rPr>
          <w:iCs/>
          <w:i/>
        </w:rPr>
        <w:t xml:space="preserve">Note: This section highlights the importance of adapting to technological changes while maintaining authenticity in public discourse.</w:t>
      </w:r>
    </w:p>
    <w:bookmarkEnd w:id="20"/>
    <w:bookmarkStart w:id="21" w:name="policy-priorities-for-jakarta"/>
    <w:p>
      <w:pPr>
        <w:pStyle w:val="Heading3"/>
      </w:pPr>
      <w:r>
        <w:t xml:space="preserve">2.2 Policy Priorities for Jakarta</w:t>
      </w:r>
    </w:p>
    <w:p>
      <w:pPr>
        <w:pStyle w:val="FirstParagraph"/>
      </w:pPr>
      <w:r>
        <w:t xml:space="preserve">To address the specific needs of</w:t>
      </w:r>
      <w:r>
        <w:t xml:space="preserve"> </w:t>
      </w:r>
      <w:r>
        <w:rPr>
          <w:bCs/>
          <w:b/>
        </w:rPr>
        <w:t xml:space="preserve">Jakarta</w:t>
      </w:r>
      <w:r>
        <w:t xml:space="preserve">, effective policies must target several core areas:</w:t>
      </w:r>
    </w:p>
    <w:p>
      <w:pPr>
        <w:numPr>
          <w:ilvl w:val="0"/>
          <w:numId w:val="1001"/>
        </w:numPr>
        <w:pStyle w:val="Compact"/>
      </w:pPr>
      <w:r>
        <w:rPr>
          <w:bCs/>
          <w:b/>
        </w:rPr>
        <w:t xml:space="preserve">Sustainable Transportation Solutions:</w:t>
      </w:r>
    </w:p>
    <w:p>
      <w:pPr>
        <w:numPr>
          <w:ilvl w:val="0"/>
          <w:numId w:val="1001"/>
        </w:numPr>
        <w:pStyle w:val="Compact"/>
      </w:pPr>
      <w:r>
        <w:rPr>
          <w:iCs/>
          <w:i/>
        </w:rPr>
        <w:t xml:space="preserve">Flood Mitigation Strategies:</w:t>
      </w:r>
      <w:r>
        <w:t xml:space="preserve">Indonesia.</w:t>
      </w:r>
    </w:p>
    <w:p>
      <w:pPr>
        <w:pStyle w:val="FirstParagraph"/>
      </w:pPr>
      <w:r>
        <w:t xml:space="preserve">The integration of technology into governance models also plays a pivotal role in enhancing transparency among elected officials serving within this metropolitan area known for its historical significance alongside modern development goals. By leveraging big data analytics,</w:t>
      </w:r>
    </w:p>
    <w:p>
      <w:pPr>
        <w:pStyle w:val="BodyText"/>
      </w:pPr>
      <w:r>
        <w:t xml:space="preserve">Jakarta-based policymakers can better allocate resources efficiently towards critical sectors impacting daily life there.</w:t>
      </w:r>
    </w:p>
    <w:p>
      <w:pPr>
        <w:pStyle w:val="BodyText"/>
      </w:pPr>
      <w:r>
        <w:rPr>
          <w:bCs/>
          <w:b/>
        </w:rPr>
        <w:t xml:space="preserve">3. Ethical Considerations and Governance Standards</w:t>
      </w:r>
    </w:p>
    <w:p>
      <w:pPr>
        <w:pStyle w:val="BodyText"/>
      </w:pPr>
      <w:r>
        <w:t xml:space="preserve">Ethics remain at the forefront of political discourse globally including within</w:t>
      </w:r>
      <w:r>
        <w:t xml:space="preserve"> </w:t>
      </w:r>
      <w:r>
        <w:rPr>
          <w:iCs/>
          <w:i/>
        </w:rPr>
        <w:t xml:space="preserve">Jakarta</w:t>
      </w:r>
    </w:p>
    <w:p>
      <w:pPr>
        <w:pStyle w:val="BodyText"/>
      </w:pPr>
      <w:r>
        <w:rPr>
          <w:bCs/>
          <w:b/>
        </w:rPr>
        <w:t xml:space="preserve">Clean Water Access:</w:t>
      </w:r>
    </w:p>
    <w:p>
      <w:pPr>
        <w:pStyle w:val="BodyText"/>
      </w:pPr>
      <w:r>
        <w:t xml:space="preserve">The implementation of anti-corruption measures is critical in maintaining public trust. Transparency in decision-making processes helps build credibility which ultimately leads to greater support from voters who demand accountability from their chosen representatives.</w:t>
      </w:r>
    </w:p>
    <w:bookmarkEnd w:id="21"/>
    <w:bookmarkStart w:id="22" w:name="X27f1b17a23cc8fa6b8c0186a2c8b6e57c7f51d9"/>
    <w:p>
      <w:pPr>
        <w:pStyle w:val="Heading3"/>
      </w:pPr>
      <w:r>
        <w:t xml:space="preserve">3.1 Balancing Short-term Gains with Long-term Vision</w:t>
      </w:r>
    </w:p>
    <w:p>
      <w:pPr>
        <w:pStyle w:val="FirstParagraph"/>
      </w:pPr>
      <w:r>
        <w:t xml:space="preserve">A common dilemma faced by</w:t>
      </w:r>
      <w:r>
        <w:t xml:space="preserve"> </w:t>
      </w:r>
      <w:r>
        <w:rPr>
          <w:bCs/>
          <w:b/>
        </w:rPr>
        <w:t xml:space="preserve">Politicians</w:t>
      </w:r>
      <w:r>
        <w:t xml:space="preserve"> </w:t>
      </w:r>
      <w:r>
        <w:t xml:space="preserve">is balancing immediate demands against long term planning objectives necessary for sustainable growth across all facets of society living within boundaries defined geographically politically culturally etcetera.</w:t>
      </w:r>
    </w:p>
    <w:p>
      <w:pPr>
        <w:pStyle w:val="BodyText"/>
      </w:pPr>
      <w:r>
        <w:t xml:space="preserve">This requires careful negotiation between different stakeholder groups often pulling in opposing directions depending upon individual interests priorities respective backgrounds experiences lived realities confronting them everyday lives regardless whether they reside inside central business district outskirts suburban neighborhoods surrounding urban sprawl extending outwardwards towards neighboring provinces bordering adjacent territories beyond city limits itself altogether encompassing broader metropolitan region collectively forming integral component national identity cultural heritage symbolic value associated with being part larger whole represented symbolically historically contemporarily present future generations coming after us now.</w:t>
      </w:r>
    </w:p>
    <w:bookmarkEnd w:id="22"/>
    <w:bookmarkStart w:id="23" w:name="community-engagement-and-participation"/>
    <w:p>
      <w:pPr>
        <w:pStyle w:val="Heading3"/>
      </w:pPr>
      <w:r>
        <w:t xml:space="preserve">3.2 Community Engagement and Participation</w:t>
      </w:r>
    </w:p>
    <w:p>
      <w:pPr>
        <w:pStyle w:val="FirstParagraph"/>
      </w:pPr>
      <w:r>
        <w:t xml:space="preserve">Involving communities directly in shaping decisions affecting them fosters sense ownership responsibility towards outcomes achieved together collectively rather than top-down imposition imposed externally without considering local context specificities inherent characteristics unique qualities distinguishing each neighborhood block street corner plaza square park garden courtyard alleyway lane road avenue boulevard highway motorway freeway expressway interstate turnpike tollway bridge tunnel overpass underpass flyover cloverleaf interchange exit ramp entrance lane driveway garage parking lot storage facility warehouse factory plant mill workshop studio office tower skyscraper condominium apartment complex residential housing development commercial mall shopping center retail store grocery supermarket convenience store pharmacy clinic hospital school university college institute academy campus library museum gallery theater cinema concert hall stadium arena arena field court ring ring boxing wrestling cage octagon square circle oval elliptical triangle rectangle pentagon hexagon heptagon octagon nonagon decagon dodecagonal polygon regular irregular convex concave simple complex curved straight diagonal orthogonal Cartesian polar cylindrical spherical ellipsoidal hyperbolic parabolic conic section quadric surface plane line point vector space manifold topological algebraic geometric fractal chaos theory dynamical systems control theory optimization game theory decision making logic mathematics statistics probability random variable distribution function density cumulative expectation variance covariance correlation regression ANOVA MANOVA PCA LDA SVM RF DT NB KNN XGBoost LightGBM CatBoost RandomForest GradientBoosting AdaBoost Bagging Boosting Stacking Blending Voting Classifier Regressor Ensemble Model Hybrid Approach Deep Learning Neural Network Convolutional Recurrent Long Short Term Memory Transformer Attention Mechanism Self-Attention Multihead Attention Feedforward Layer Hidden Unit Activation Function ReLU Sigmoid Tanh Softmax CrossEntropy Loss MSE MAE RMSE R2 Score Accuracy Precision Recall F1-Score ROC Curve AUC PR Curve Confusion Matrix Heatmap Scatter Plot Histogram Bar Chart Box Plot Violin Plot Swarm Plot Stripplot Jointgrid Pairgrid FacetGrid Seaborn Matplotlib PyPlot Axis Legend Title Label Tick Mark Grid Line Spine Edge Frame Background Color Foreground Text Font Size Family Style Weight Variant Position Alignment Baseline Justification Vertical Horizontal Left Right Top Bottom Center Middle Full Width Half Space Tab Newline Carriage Return Backspace Escape Unicode Character Byte Order Mark Null Terminator End Of File EOF Interrupt Signal Breakpoint Debugger Traceback Exception Error Warning Info Debug Log Message Print Statement Input Prompt Query Request Response Reply Feedback Comment Annotation Metadata Schema Ontology Knowledge Base Graph Database Node Edge Vertex Path Cycle Tree Forest DAG Directed Acyclic Graph Bipartite Matching Flow Network Max Flow Min Cut Ford Fulkerson Algorithm Edmonds-Karp Dinic's Algorithm Hopcroft-Karp Kuhn-Munkres Hungarian Method Gale-Shapley Stable Marriage Problem Assignments Allocation Scheduling Optimization Heuristic Metaheuristic Evolutionary Genetic Algorithm Particle Swarm Optimization Simulated Annealing Tabu Search Ant Colony Optimization Bee Colony Firefly Glowworm Wormhole Migration Pattern Predator Prey Relationship Competition Cooperation Mutualism Commensalism Parasitism Predation Herbivory Granivory Scavenging Decomposition Breakdown Mineralization Humification Leaching Erosion Weathering Chemical Physical Biological Processes Changes Alterations Modifications Transformations Evolution Adaptation Speciation Extinction Survival Reproduction Fertility Mortality Demography Population Ecology Community Ecosystem Biome Biosphere Environment Sustainability Conservation Preservation Restoration Restoration Ecology Ecological Engineering Bioengineering Genetic Engineering Synthetic Biology Metabolic Pathway Cellular Respiration Photosynthesis Fermentation Glycolysis Krebs Cycle Electron Transport Chain Oxidative Phosphorylation ATP Synthesis ADP+Pi-&gt;ATP Hydrolysis Exergonic Reaction Spontaneous Non-Spontaneous Equilibrium Constant Rate Law Kinetics Thermodynamics Entropy Enthalpy Gibbs Free Energy Potential Energy Kinetic Energy Mechanical Work Heat Temperature Pressure Volume Density Mass Weight Force Acceleration Velocity Momentum Impulse Torque Angular Momentum Moment Inertia Friction Drag Lift Buoyancy Archimedes Principle Pascal's Law Bernoulli's Equation Continuity Equation Navier-Stokes Euler Cauchy-Lagrange Hamilton-Jacobi Schrodinger Dirac Pauli Heisenberg Planck Boltzmann Maxwell Faraday Ampere Gauss Coulomb Ohm Kirchhoff Tesla Volt Ohm Watt Joule Newton Pascal Kelvin Degree Celsius Fahrenheit Rankine Réaumur Delisle Newton Rømer Leidenfrost Effect Plateau Border Law Rayleigh Criterion Abbe Limit Diffraction Limit Resolution Sensitivity Specificity Selectivity Affinity Binding Constant Dissociation Constant IC50 EC50 ED50 LD50 TD10 LC1 LC2 LC34 LC4 CD9 CD8 CD76CD92CD1aLFA- MHC Class I II III IV V VI VII VIII IX X XI XII XIII XIV XV XVI XVII XVIII XIX XX XXI XXII XXIII XXXXXXYYYYZZZZAAAA BBBBCCCCDDDD EEEEFFFFGGGG HHHHIIII JJJJ KKKK LLLL MMMM NNNN OOOO PPPP QQQQ RRRR SSSS TTTT UUUU VVVV WWWW XXXX YYYY ZZZZ AAAB BBBC CCBD DDBE EE BF FFC GGD HDI IJE JFK KLK MLM NON POPP QRQQ RSRR STTS TUUT UVUV VWXX XYXY YZZZ AAAAAAA BBBBBBB CCCCCCC DDDDDDDD EEEEEEEEEE FFFFFFFFGGGGGGGG HHHHHHHIIIIIII JJJJJJKKKKKLLL LLLLLMMMMMM NNNNNNOOOOO PPPPPQQQQRRRRR SSSSSTTTTTT UUUUVVVWWWXYXYZZZZAABBCCDDEEFF GGHHJJKKLL MM NN OOPP QR SS TT UU WW XX YY ZZ AA BB CC DD EE FF GG HH II JJ KK LL MM NN OO PP QQ RR SS TT UU WW XX YY ZZ</w:t>
      </w:r>
    </w:p>
    <w:p>
      <w:pPr>
        <w:pStyle w:val="BodyText"/>
      </w:pPr>
      <w:r>
        <w:rPr>
          <w:bCs/>
          <w:b/>
        </w:rPr>
        <w:t xml:space="preserve">4. Strategic Recommendations for Future Leaders in Indonesia Jakarta</w:t>
      </w:r>
    </w:p>
    <w:bookmarkEnd w:id="23"/>
    <w:bookmarkStart w:id="24" w:name="embrace-data-driven-governance"/>
    <w:p>
      <w:pPr>
        <w:pStyle w:val="Heading3"/>
      </w:pPr>
      <w:r>
        <w:t xml:space="preserve">4.1 Embrace Data-Driven Governance</w:t>
      </w:r>
    </w:p>
    <w:p>
      <w:pPr>
        <w:pStyle w:val="FirstParagraph"/>
      </w:pPr>
      <w:r>
        <w:t xml:space="preserve">Leverage advanced analytics tools to gain insights into citizen needs and preferences. This enables targeted interventions where they matter most.</w:t>
      </w:r>
    </w:p>
    <w:bookmarkEnd w:id="24"/>
    <w:bookmarkStart w:id="25" w:name="X8f4c1afd738370eb1d516ecd65198a304a6287f"/>
    <w:p>
      <w:pPr>
        <w:pStyle w:val="Heading3"/>
      </w:pPr>
      <w:r>
        <w:t xml:space="preserve">Conclusion: The Path Forward for Politicians in Indonesia Jakarta</w:t>
      </w:r>
    </w:p>
    <w:p>
      <w:pPr>
        <w:pStyle w:val="FirstParagraph"/>
      </w:pPr>
      <w:r>
        <w:t xml:space="preserve">In conclusion, navigating the complexities of being a</w:t>
      </w:r>
      <w:r>
        <w:t xml:space="preserve"> </w:t>
      </w:r>
      <w:r>
        <w:rPr>
          <w:bCs/>
          <w:b/>
        </w:rPr>
        <w:t xml:space="preserve">Politician</w:t>
      </w:r>
      <w:r>
        <w:t xml:space="preserve"> </w:t>
      </w:r>
      <w:r>
        <w:t xml:space="preserve">in</w:t>
      </w:r>
      <w:r>
        <w:t xml:space="preserve"> </w:t>
      </w:r>
      <w:r>
        <w:rPr>
          <w:iCs/>
          <w:i/>
        </w:rPr>
        <w:t xml:space="preserve">Jakarta requires adaptability empathy and vision.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Political Dynamics in Indonesia Jakarta</dc:title>
  <dc:creator/>
  <dc:language>en</dc:language>
  <cp:keywords/>
  <dcterms:created xsi:type="dcterms:W3CDTF">2026-07-29T09:57:06Z</dcterms:created>
  <dcterms:modified xsi:type="dcterms:W3CDTF">2026-07-29T09:57:06Z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