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Japan</w:t>
      </w:r>
      <w:r>
        <w:t xml:space="preserve"> </w:t>
      </w:r>
      <w:r>
        <w:t xml:space="preserve">Osaka</w:t>
      </w:r>
    </w:p>
    <w:bookmarkStart w:id="34" w:name="X71bf95160fd27f36954974e8ef1fff86dc6eff5"/>
    <w:p>
      <w:pPr>
        <w:pStyle w:val="Heading1"/>
      </w:pPr>
      <w:r>
        <w:t xml:space="preserve">Case Study: Navigating Governance and Identity in the Role of a Politician within Japan Osaka</w:t>
      </w:r>
    </w:p>
    <w:p>
      <w:pPr>
        <w:pStyle w:val="FirstParagraph"/>
      </w:pPr>
      <w:r>
        <w:rPr>
          <w:bCs/>
          <w:b/>
        </w:rPr>
        <w:t xml:space="preserve">Date:</w:t>
      </w:r>
      <w:r>
        <w:t xml:space="preserve"> </w:t>
      </w:r>
      <w:r>
        <w:t xml:space="preserve">May 24, 2024</w:t>
      </w:r>
      <w:r>
        <w:br/>
      </w:r>
      <w:r>
        <w:rPr>
          <w:bCs/>
          <w:b/>
        </w:rPr>
        <w:t xml:space="preserve">Jurisdiction:</w:t>
      </w:r>
      <w:r>
        <w:t xml:space="preserve">Fukuoka District Court (Appeals), specifically focusing on municipal dynamics</w:t>
      </w:r>
      <w:r>
        <w:br/>
      </w:r>
      <w:r>
        <w:rPr>
          <w:bCs/>
          <w:b/>
        </w:rPr>
        <w:t xml:space="preserve">Subject Profile:</w:t>
      </w:r>
      <w:r>
        <w:t xml:space="preserve"> </w:t>
      </w:r>
      <w:r>
        <w:t xml:space="preserve">Senior Municipal Council Member and Party Policy Chairman</w:t>
      </w:r>
    </w:p>
    <w:bookmarkStart w:id="20" w:name="executive-summary"/>
    <w:p>
      <w:pPr>
        <w:pStyle w:val="Heading2"/>
      </w:pPr>
      <w:r>
        <w:t xml:space="preserve">1. Executive Summary</w:t>
      </w:r>
    </w:p>
    <w:p>
      <w:pPr>
        <w:pStyle w:val="FirstParagraph"/>
      </w:pPr>
      <w:r>
        <w:t xml:space="preserve">This Case Study examines the complex, multifaceted role of a</w:t>
      </w:r>
      <w:r>
        <w:t xml:space="preserve"> </w:t>
      </w:r>
      <w:r>
        <w:rPr>
          <w:bCs/>
          <w:b/>
        </w:rPr>
        <w:t xml:space="preserve">Policician</w:t>
      </w:r>
      <w:r>
        <w:rPr>
          <w:vertAlign w:val="superscript"/>
        </w:rPr>
        <w:t xml:space="preserve">*</w:t>
      </w:r>
      <w:r>
        <w:rPr>
          <w:iCs/>
          <w:i/>
        </w:rPr>
        <w:t xml:space="preserve">(Note: Interpreted as 'Politician' based on context)</w:t>
      </w:r>
      <w:r>
        <w:t xml:space="preserve"> </w:t>
      </w:r>
      <w:r>
        <w:t xml:space="preserve">operating within the specific socio-political landscape of</w:t>
      </w:r>
      <w:r>
        <w:t xml:space="preserve"> </w:t>
      </w:r>
      <w:r>
        <w:rPr>
          <w:bCs/>
          <w:b/>
        </w:rPr>
        <w:t xml:space="preserve">Japan Osaka</w:t>
      </w:r>
      <w:r>
        <w:t xml:space="preserve">. While standard democratic structures apply, the unique cultural nuances of Osaka—often characterized by its distinct dialect ("Kansai-ben"), a history of commercial pragmatism, and a fiercely independent spirit compared to Tokyo—create a singular environment for political engagement. This document analyzes how effective governance in this region requires not only legislative competence but also deep cultural literacy and community trust-building.</w:t>
      </w:r>
    </w:p>
    <w:p>
      <w:pPr>
        <w:pStyle w:val="BodyText"/>
      </w:pPr>
      <w:r>
        <w:rPr>
          <w:vertAlign w:val="superscript"/>
        </w:rPr>
        <w:t xml:space="preserve">*</w:t>
      </w:r>
      <w:r>
        <w:rPr>
          <w:iCs/>
          <w:i/>
        </w:rPr>
        <w:t xml:space="preserve">Note: The term "Policician" appears to be a typo for "Politician." For the purposes of this Case Study, we assume the subject is a</w:t>
      </w:r>
      <w:r>
        <w:rPr>
          <w:iCs/>
          <w:i/>
        </w:rPr>
        <w:t xml:space="preserve"> </w:t>
      </w:r>
      <w:r>
        <w:rPr>
          <w:bCs/>
          <w:b/>
          <w:iCs/>
          <w:i/>
        </w:rPr>
        <w:t xml:space="preserve">POLITICIAN</w:t>
      </w:r>
      <w:r>
        <w:rPr>
          <w:iCs/>
          <w:i/>
        </w:rPr>
        <w:t xml:space="preserve">. If "Policician" refers to a hybrid law-enforcement/political role, that structure does not exist in Japan’s standard democratic framework. Therefore, this analysis focuses on the</w:t>
      </w:r>
      <w:r>
        <w:rPr>
          <w:iCs/>
          <w:i/>
        </w:rPr>
        <w:t xml:space="preserve"> </w:t>
      </w:r>
      <w:r>
        <w:rPr>
          <w:bCs/>
          <w:b/>
          <w:iCs/>
          <w:i/>
        </w:rPr>
        <w:t xml:space="preserve">POLITICIAN</w:t>
      </w:r>
      <w:r>
        <w:rPr>
          <w:iCs/>
          <w:i/>
        </w:rPr>
        <w:t xml:space="preserve"> </w:t>
      </w:r>
      <w:r>
        <w:rPr>
          <w:iCs/>
          <w:i/>
        </w:rPr>
        <w:t xml:space="preserve">as elected representative.</w:t>
      </w:r>
    </w:p>
    <w:bookmarkEnd w:id="20"/>
    <w:bookmarkStart w:id="21" w:name="introduction-the-osaka-context"/>
    <w:p>
      <w:pPr>
        <w:pStyle w:val="Heading2"/>
      </w:pPr>
      <w:r>
        <w:t xml:space="preserve">2. Introduction: The Osaka Context</w:t>
      </w:r>
    </w:p>
    <w:p>
      <w:pPr>
        <w:pStyle w:val="FirstParagraph"/>
      </w:pPr>
      <w:r>
        <w:t xml:space="preserve">To understand the</w:t>
      </w:r>
      <w:r>
        <w:t xml:space="preserve"> </w:t>
      </w:r>
      <w:r>
        <w:rPr>
          <w:bCs/>
          <w:b/>
        </w:rPr>
        <w:t xml:space="preserve">POLITICIAN</w:t>
      </w:r>
      <w:r>
        <w:t xml:space="preserve">, one must first understand the soil in which they operate:</w:t>
      </w:r>
      <w:r>
        <w:t xml:space="preserve"> </w:t>
      </w:r>
      <w:r>
        <w:rPr>
          <w:bCs/>
          <w:b/>
        </w:rPr>
        <w:t xml:space="preserve">JAPAN OSAKA</w:t>
      </w:r>
      <w:r>
        <w:t xml:space="preserve">. Unlike Tokyo, which is often viewed as a center of political power and bureaucracy, Osaka is historically the "Kitchen of Japan," a hub of trade, commerce, and commoner culture. This distinction shapes voter expectations. Voters in</w:t>
      </w:r>
      <w:r>
        <w:t xml:space="preserve"> </w:t>
      </w:r>
      <w:r>
        <w:rPr>
          <w:bCs/>
          <w:b/>
        </w:rPr>
        <w:t xml:space="preserve">JAPAN OSAKA</w:t>
      </w:r>
      <w:r>
        <w:t xml:space="preserve"> </w:t>
      </w:r>
      <w:r>
        <w:t xml:space="preserve">tend to prioritize practical results over ideological purity. They value directness, humor, and accessibility.</w:t>
      </w:r>
    </w:p>
    <w:p>
      <w:pPr>
        <w:pStyle w:val="BodyText"/>
      </w:pPr>
      <w:r>
        <w:t xml:space="preserve">The</w:t>
      </w:r>
      <w:r>
        <w:t xml:space="preserve"> </w:t>
      </w:r>
      <w:r>
        <w:rPr>
          <w:bCs/>
          <w:b/>
        </w:rPr>
        <w:t xml:space="preserve">POLITICIAN</w:t>
      </w:r>
      <w:r>
        <w:t xml:space="preserve"> </w:t>
      </w:r>
      <w:r>
        <w:t xml:space="preserve">in this region cannot afford the aloofness sometimes seen in national politicians based in Tokyo. The connection between the representative and the resident is immediate and visceral. A failure to understand local dialects or cultural references can result in an immediate loss of credibility, a phenomenon known locally as "losing face" but more severely interpreted as "not being one of us."</w:t>
      </w:r>
    </w:p>
    <w:bookmarkEnd w:id="21"/>
    <w:bookmarkStart w:id="22" w:name="X89cd29de8175afa7ddb2fd7ac01c1ad4cb546a9"/>
    <w:p>
      <w:pPr>
        <w:pStyle w:val="Heading2"/>
      </w:pPr>
      <w:r>
        <w:t xml:space="preserve">3. Case Background: The Urban Renewal Challenge</w:t>
      </w:r>
    </w:p>
    <w:p>
      <w:pPr>
        <w:pStyle w:val="FirstParagraph"/>
      </w:pPr>
      <w:r>
        <w:t xml:space="preserve">The subject of this case study served on the Osaka Municipal Assembly during a critical period of urban redevelopment in the Namba and Umeda districts. The challenge was twofold:</w:t>
      </w:r>
    </w:p>
    <w:p>
      <w:pPr>
        <w:numPr>
          <w:ilvl w:val="0"/>
          <w:numId w:val="1001"/>
        </w:numPr>
        <w:pStyle w:val="Compact"/>
      </w:pPr>
      <w:r>
        <w:rPr>
          <w:bCs/>
          <w:b/>
        </w:rPr>
        <w:t xml:space="preserve">Infrastructure Modernization:</w:t>
      </w:r>
      <w:r>
        <w:t xml:space="preserve"> </w:t>
      </w:r>
      <w:r>
        <w:t xml:space="preserve">Aging subway systems and traffic congestion required significant capital investment.</w:t>
      </w:r>
    </w:p>
    <w:p>
      <w:pPr>
        <w:numPr>
          <w:ilvl w:val="0"/>
          <w:numId w:val="1001"/>
        </w:numPr>
        <w:pStyle w:val="Compact"/>
      </w:pPr>
      <w:r>
        <w:rPr>
          <w:bCs/>
          <w:b/>
        </w:rPr>
        <w:t xml:space="preserve">Tourism vs. Livability:</w:t>
      </w:r>
      <w:r>
        <w:t xml:space="preserve"> </w:t>
      </w:r>
      <w:r>
        <w:t xml:space="preserve">Post-pandemic tourism booms created tensions between residents seeking quiet and businesses seeking foot traffic.</w:t>
      </w:r>
    </w:p>
    <w:p>
      <w:pPr>
        <w:pStyle w:val="FirstParagraph"/>
      </w:pPr>
      <w:r>
        <w:t xml:space="preserve">The</w:t>
      </w:r>
      <w:r>
        <w:t xml:space="preserve"> </w:t>
      </w:r>
      <w:r>
        <w:rPr>
          <w:bCs/>
          <w:b/>
        </w:rPr>
        <w:t xml:space="preserve">POLITICIAN</w:t>
      </w:r>
      <w:r>
        <w:t xml:space="preserve"> </w:t>
      </w:r>
      <w:r>
        <w:t xml:space="preserve">was tasked with mediating between these competing interests. This role demanded a shift from traditional top-down governance to collaborative, stakeholder-driven policy making.</w:t>
      </w:r>
    </w:p>
    <w:bookmarkEnd w:id="22"/>
    <w:bookmarkStart w:id="26" w:name="methodology-and-political-strategy"/>
    <w:p>
      <w:pPr>
        <w:pStyle w:val="Heading2"/>
      </w:pPr>
      <w:r>
        <w:t xml:space="preserve">4. Methodology and Political Strategy</w:t>
      </w:r>
    </w:p>
    <w:bookmarkStart w:id="23" w:name="cultural-competence-as-political-capital"/>
    <w:p>
      <w:pPr>
        <w:pStyle w:val="Heading3"/>
      </w:pPr>
      <w:r>
        <w:t xml:space="preserve">4.1 Cultural Competence as Political Capital</w:t>
      </w:r>
    </w:p>
    <w:p>
      <w:pPr>
        <w:pStyle w:val="FirstParagraph"/>
      </w:pPr>
      <w:r>
        <w:t xml:space="preserve">In</w:t>
      </w:r>
      <w:r>
        <w:t xml:space="preserve"> </w:t>
      </w:r>
      <w:r>
        <w:rPr>
          <w:bCs/>
          <w:b/>
        </w:rPr>
        <w:t xml:space="preserve">JAPAN OSAKA</w:t>
      </w:r>
      <w:r>
        <w:t xml:space="preserve">, the use of standard Tokyo Japanese (Hyōjungo) can create a barrier. Our subject actively utilized Kansai-ben in public speeches and social media interactions. This was not merely performative but strategic, signaling respect for local identity. By speaking the language of the people, the</w:t>
      </w:r>
      <w:r>
        <w:t xml:space="preserve"> </w:t>
      </w:r>
      <w:r>
        <w:rPr>
          <w:bCs/>
          <w:b/>
        </w:rPr>
        <w:t xml:space="preserve">POLITICIAN</w:t>
      </w:r>
      <w:r>
        <w:t xml:space="preserve"> </w:t>
      </w:r>
      <w:r>
        <w:t xml:space="preserve">established an emotional bond that transcended policy debates.</w:t>
      </w:r>
    </w:p>
    <w:bookmarkEnd w:id="23"/>
    <w:bookmarkStart w:id="24" w:name="the-omotenashi-approach-to-governance"/>
    <w:p>
      <w:pPr>
        <w:pStyle w:val="Heading3"/>
      </w:pPr>
      <w:r>
        <w:t xml:space="preserve">4.2 The "Omotenashi" Approach to Governance</w:t>
      </w:r>
    </w:p>
    <w:p>
      <w:pPr>
        <w:pStyle w:val="FirstParagraph"/>
      </w:pPr>
      <w:r>
        <w:t xml:space="preserve">Omakase and hospitality culture extend into Osaka’s civic life. The</w:t>
      </w:r>
      <w:r>
        <w:t xml:space="preserve"> </w:t>
      </w:r>
      <w:r>
        <w:rPr>
          <w:bCs/>
          <w:b/>
        </w:rPr>
        <w:t xml:space="preserve">POLITICIAN</w:t>
      </w:r>
      <w:r>
        <w:t xml:space="preserve"> </w:t>
      </w:r>
      <w:r>
        <w:t xml:space="preserve">adopted an approach of proactive service rather than reactive regulation. Instead of waiting for complaints, the office hosted monthly "Town Hall Tea Sessions" in local community centers, allowing residents to voice concerns directly to elected officials without bureaucratic intermediaries.</w:t>
      </w:r>
    </w:p>
    <w:bookmarkEnd w:id="24"/>
    <w:bookmarkStart w:id="25" w:name="leveraging-local-business-networks"/>
    <w:p>
      <w:pPr>
        <w:pStyle w:val="Heading3"/>
      </w:pPr>
      <w:r>
        <w:t xml:space="preserve">4.3 Leveraging Local Business Networks</w:t>
      </w:r>
    </w:p>
    <w:p>
      <w:pPr>
        <w:pStyle w:val="FirstParagraph"/>
      </w:pPr>
      <w:r>
        <w:t xml:space="preserve">Otoko (men) and Onna (women) of Osaka have historically strong business networks. The</w:t>
      </w:r>
      <w:r>
        <w:t xml:space="preserve"> </w:t>
      </w:r>
      <w:r>
        <w:rPr>
          <w:bCs/>
          <w:b/>
        </w:rPr>
        <w:t xml:space="preserve">POLITICIAN</w:t>
      </w:r>
      <w:r>
        <w:t xml:space="preserve"> </w:t>
      </w:r>
      <w:r>
        <w:t xml:space="preserve">engaged local merchants' associations early in the planning phase, ensuring that urban renewal projects included provisions for small business support. This mitigated opposition from traditional sectors who often hold significant sway in municipal elections.</w:t>
      </w:r>
    </w:p>
    <w:bookmarkEnd w:id="25"/>
    <w:bookmarkEnd w:id="26"/>
    <w:bookmarkStart w:id="30" w:name="challenges-encountered"/>
    <w:p>
      <w:pPr>
        <w:pStyle w:val="Heading2"/>
      </w:pPr>
      <w:r>
        <w:t xml:space="preserve">5. Challenges Encountered</w:t>
      </w:r>
    </w:p>
    <w:bookmarkStart w:id="27" w:name="central-vs.-local-tensions"/>
    <w:p>
      <w:pPr>
        <w:pStyle w:val="Heading3"/>
      </w:pPr>
      <w:r>
        <w:t xml:space="preserve">5.1 Central vs. Local Tensions</w:t>
      </w:r>
    </w:p>
    <w:p>
      <w:pPr>
        <w:pStyle w:val="FirstParagraph"/>
      </w:pPr>
      <w:r>
        <w:t xml:space="preserve">A recurring theme for any</w:t>
      </w:r>
      <w:r>
        <w:t xml:space="preserve"> </w:t>
      </w:r>
      <w:r>
        <w:rPr>
          <w:bCs/>
          <w:b/>
        </w:rPr>
        <w:t xml:space="preserve">POLITICIAN</w:t>
      </w:r>
      <w:r>
        <w:t xml:space="preserve"> </w:t>
      </w:r>
      <w:r>
        <w:t xml:space="preserve">in</w:t>
      </w:r>
      <w:r>
        <w:t xml:space="preserve"> </w:t>
      </w:r>
      <w:r>
        <w:rPr>
          <w:bCs/>
          <w:b/>
        </w:rPr>
        <w:t xml:space="preserve">JAPAN OSAKA</w:t>
      </w:r>
      <w:r>
        <w:t xml:space="preserve"> </w:t>
      </w:r>
      <w:r>
        <w:t xml:space="preserve">is the relationship with the national government in Tokyo. Often, policies mandated from above clash with local needs. The subject had to navigate this delicate balance, advocating for Osaka’s specific autonomy while ensuring compliance with national laws.</w:t>
      </w:r>
    </w:p>
    <w:bookmarkEnd w:id="27"/>
    <w:bookmarkStart w:id="28" w:name="generational-divide"/>
    <w:p>
      <w:pPr>
        <w:pStyle w:val="Heading3"/>
      </w:pPr>
      <w:r>
        <w:t xml:space="preserve">5.2 Generational Divide</w:t>
      </w:r>
    </w:p>
    <w:p>
      <w:pPr>
        <w:pStyle w:val="FirstParagraph"/>
      </w:pPr>
      <w:r>
        <w:t xml:space="preserve">Otaku culture and digital engagement are strong in Osaka, particularly among younger demographics. Traditional political campaigning (fliers, door-to-door visits) was insufficient. The</w:t>
      </w:r>
      <w:r>
        <w:t xml:space="preserve"> </w:t>
      </w:r>
      <w:r>
        <w:rPr>
          <w:bCs/>
          <w:b/>
        </w:rPr>
        <w:t xml:space="preserve">POLITICIAN</w:t>
      </w:r>
      <w:r>
        <w:t xml:space="preserve"> </w:t>
      </w:r>
      <w:r>
        <w:t xml:space="preserve">had to rapidly adapt to short-form video content and digital town halls to remain relevant.</w:t>
      </w:r>
    </w:p>
    <w:bookmarkEnd w:id="28"/>
    <w:bookmarkStart w:id="29" w:name="scandals-and-trust-erosion"/>
    <w:p>
      <w:pPr>
        <w:pStyle w:val="Heading3"/>
      </w:pPr>
      <w:r>
        <w:t xml:space="preserve">5.3 Scandals and Trust Erosion</w:t>
      </w:r>
    </w:p>
    <w:p>
      <w:pPr>
        <w:pStyle w:val="FirstParagraph"/>
      </w:pPr>
      <w:r>
        <w:t xml:space="preserve">In the post-2010s political climate, Japanese voters are increasingly skeptical of corruption. The</w:t>
      </w:r>
      <w:r>
        <w:t xml:space="preserve"> </w:t>
      </w:r>
      <w:r>
        <w:rPr>
          <w:bCs/>
          <w:b/>
        </w:rPr>
        <w:t xml:space="preserve">POLITICIAN</w:t>
      </w:r>
      <w:r>
        <w:t xml:space="preserve"> </w:t>
      </w:r>
      <w:r>
        <w:t xml:space="preserve">faced intense scrutiny over campaign financing transparency, a common issue in</w:t>
      </w:r>
      <w:r>
        <w:t xml:space="preserve"> </w:t>
      </w:r>
      <w:r>
        <w:rPr>
          <w:bCs/>
          <w:b/>
        </w:rPr>
        <w:t xml:space="preserve">JAPAN OSAKA</w:t>
      </w:r>
      <w:r>
        <w:t xml:space="preserve">’s tight-knit business-political circles. Maintaining impeccable ethical standards became the cornerstone of re-election success.</w:t>
      </w:r>
    </w:p>
    <w:bookmarkEnd w:id="29"/>
    <w:bookmarkEnd w:id="30"/>
    <w:bookmarkStart w:id="31" w:name="outcomes-and-impact"/>
    <w:p>
      <w:pPr>
        <w:pStyle w:val="Heading2"/>
      </w:pPr>
      <w:r>
        <w:t xml:space="preserve">6. Outcomes and Impact</w:t>
      </w:r>
    </w:p>
    <w:p>
      <w:pPr>
        <w:pStyle w:val="FirstParagraph"/>
      </w:pPr>
      <w:r>
        <w:t xml:space="preserve">The strategies employed by the</w:t>
      </w:r>
      <w:r>
        <w:t xml:space="preserve"> </w:t>
      </w:r>
      <w:r>
        <w:rPr>
          <w:bCs/>
          <w:b/>
        </w:rPr>
        <w:t xml:space="preserve">POLITICIAN</w:t>
      </w:r>
      <w:r>
        <w:t xml:space="preserve"> </w:t>
      </w:r>
      <w:r>
        <w:t xml:space="preserve">resulted in:</w:t>
      </w:r>
    </w:p>
    <w:p>
      <w:pPr>
        <w:numPr>
          <w:ilvl w:val="0"/>
          <w:numId w:val="1002"/>
        </w:numPr>
        <w:pStyle w:val="Compact"/>
      </w:pPr>
      <w:r>
        <w:rPr>
          <w:bCs/>
          <w:b/>
        </w:rPr>
        <w:t xml:space="preserve">Increased Civic Participation:</w:t>
      </w:r>
      <w:r>
        <w:t xml:space="preserve"> </w:t>
      </w:r>
      <w:r>
        <w:t xml:space="preserve">Attendance at town halls increased by 40% within two years.</w:t>
      </w:r>
    </w:p>
    <w:p>
      <w:pPr>
        <w:numPr>
          <w:ilvl w:val="0"/>
          <w:numId w:val="1002"/>
        </w:numPr>
        <w:pStyle w:val="Compact"/>
      </w:pPr>
      <w:r>
        <w:rPr>
          <w:bCs/>
          <w:b/>
        </w:rPr>
        <w:t xml:space="preserve">Smoother Infrastructure Rollout:</w:t>
      </w:r>
      <w:r>
        <w:t xml:space="preserve"> </w:t>
      </w:r>
      <w:r>
        <w:t xml:space="preserve">The new subway expansion faced fewer legal challenges due to early stakeholder engagement.</w:t>
      </w:r>
    </w:p>
    <w:p>
      <w:pPr>
        <w:numPr>
          <w:ilvl w:val="0"/>
          <w:numId w:val="1002"/>
        </w:numPr>
        <w:pStyle w:val="Compact"/>
      </w:pPr>
      <w:r>
        <w:rPr>
          <w:bCs/>
          <w:b/>
        </w:rPr>
        <w:t xml:space="preserve">Social Cohesion:</w:t>
      </w:r>
      <w:r>
        <w:t xml:space="preserve"> </w:t>
      </w:r>
      <w:r>
        <w:t xml:space="preserve">Programs bridging tourism revenue and resident benefits reduced community resentment, fostering a more welcoming environment in</w:t>
      </w:r>
      <w:r>
        <w:t xml:space="preserve"> </w:t>
      </w:r>
      <w:r>
        <w:rPr>
          <w:bCs/>
          <w:b/>
        </w:rPr>
        <w:t xml:space="preserve">JAPAN OSAKA</w:t>
      </w:r>
      <w:r>
        <w:t xml:space="preserve">.</w:t>
      </w:r>
    </w:p>
    <w:p>
      <w:pPr>
        <w:pStyle w:val="FirstParagraph"/>
      </w:pPr>
      <w:r>
        <w:t xml:space="preserve">The success of this model has been studied by other municipalities within Japan, highlighting the viability of culturally attuned governance.</w:t>
      </w:r>
    </w:p>
    <w:bookmarkEnd w:id="31"/>
    <w:bookmarkStart w:id="32" w:name="X81e86bcb093e0233a76c5cf6724d56f76559ab9"/>
    <w:p>
      <w:pPr>
        <w:pStyle w:val="Heading2"/>
      </w:pPr>
      <w:r>
        <w:t xml:space="preserve">7. Analysis: The Unique Role of the Politician in Japan Osaka</w:t>
      </w:r>
    </w:p>
    <w:p>
      <w:pPr>
        <w:pStyle w:val="FirstParagraph"/>
      </w:pPr>
      <w:r>
        <w:t xml:space="preserve">This case study underscores that being a</w:t>
      </w:r>
      <w:r>
        <w:t xml:space="preserve"> </w:t>
      </w:r>
      <w:r>
        <w:rPr>
          <w:bCs/>
          <w:b/>
        </w:rPr>
        <w:t xml:space="preserve">POLITICIAN</w:t>
      </w:r>
      <w:r>
        <w:t xml:space="preserve"> </w:t>
      </w:r>
      <w:r>
        <w:t xml:space="preserve">in</w:t>
      </w:r>
      <w:r>
        <w:t xml:space="preserve"> </w:t>
      </w:r>
      <w:r>
        <w:rPr>
          <w:bCs/>
          <w:b/>
        </w:rPr>
        <w:t xml:space="preserve">JAPAN OSAKA</w:t>
      </w:r>
      <w:r>
        <w:t xml:space="preserve"> </w:t>
      </w:r>
      <w:r>
        <w:t xml:space="preserve">is not merely about passing laws; it is about embodying the spirit of the region. The "Osaka Spirit" (Osaka-kyo) emphasizes:</w:t>
      </w:r>
    </w:p>
    <w:p>
      <w:pPr>
        <w:numPr>
          <w:ilvl w:val="0"/>
          <w:numId w:val="1003"/>
        </w:numPr>
        <w:pStyle w:val="Compact"/>
      </w:pPr>
      <w:r>
        <w:rPr>
          <w:bCs/>
          <w:b/>
        </w:rPr>
        <w:t xml:space="preserve">Mottai Nai:</w:t>
      </w:r>
      <w:r>
        <w:t xml:space="preserve"> </w:t>
      </w:r>
      <w:r>
        <w:t xml:space="preserve">A sense that nothing should be wasted, translating to efficient fiscal policy.</w:t>
      </w:r>
    </w:p>
    <w:p>
      <w:pPr>
        <w:numPr>
          <w:ilvl w:val="0"/>
          <w:numId w:val="1003"/>
        </w:numPr>
        <w:pStyle w:val="Compact"/>
      </w:pPr>
      <w:r>
        <w:rPr>
          <w:bCs/>
          <w:b/>
        </w:rPr>
        <w:t xml:space="preserve">Kon'ya wa Tokui na Kuchi o Suru:</w:t>
      </w:r>
      <w:r>
        <w:t xml:space="preserve"> </w:t>
      </w:r>
      <w:r>
        <w:t xml:space="preserve">"Having a good mouth today," which encourages eloquence, negotiation skills, and the ability to persuade through charm rather than coercion.</w:t>
      </w:r>
    </w:p>
    <w:p>
      <w:pPr>
        <w:pStyle w:val="FirstParagraph"/>
      </w:pPr>
      <w:r>
        <w:t xml:space="preserve">The</w:t>
      </w:r>
      <w:r>
        <w:t xml:space="preserve"> </w:t>
      </w:r>
      <w:r>
        <w:rPr>
          <w:bCs/>
          <w:b/>
        </w:rPr>
        <w:t xml:space="preserve">POLITICIAN</w:t>
      </w:r>
      <w:r>
        <w:t xml:space="preserve"> </w:t>
      </w:r>
      <w:r>
        <w:t xml:space="preserve">must balance these cultural traits with the rigorous demands of modern governance. Success requires a hybrid skill set: the analytical mind of a technocrat and the heart of a community leader.</w:t>
      </w:r>
    </w:p>
    <w:bookmarkEnd w:id="32"/>
    <w:bookmarkStart w:id="33" w:name="conclusion-and-recommendations"/>
    <w:p>
      <w:pPr>
        <w:pStyle w:val="Heading2"/>
      </w:pPr>
      <w:r>
        <w:t xml:space="preserve">8. Conclusion and Recommendations</w:t>
      </w:r>
    </w:p>
    <w:p>
      <w:pPr>
        <w:pStyle w:val="FirstParagraph"/>
      </w:pPr>
      <w:r>
        <w:t xml:space="preserve">The role of the</w:t>
      </w:r>
      <w:r>
        <w:t xml:space="preserve"> </w:t>
      </w:r>
      <w:r>
        <w:rPr>
          <w:bCs/>
          <w:b/>
        </w:rPr>
        <w:t xml:space="preserve">POLITICIAN</w:t>
      </w:r>
      <w:r>
        <w:t xml:space="preserve"> </w:t>
      </w:r>
      <w:r>
        <w:t xml:space="preserve">in</w:t>
      </w:r>
      <w:r>
        <w:t xml:space="preserve"> </w:t>
      </w:r>
      <w:r>
        <w:rPr>
          <w:bCs/>
          <w:b/>
        </w:rPr>
        <w:t xml:space="preserve">JAPAN OSAKA</w:t>
      </w:r>
      <w:r>
        <w:t xml:space="preserve"> </w:t>
      </w:r>
      <w:r>
        <w:t xml:space="preserve">is evolving from that of an authority figure to that of a facilitator. Key recommendations for future practitioners include:</w:t>
      </w:r>
    </w:p>
    <w:p>
      <w:pPr>
        <w:numPr>
          <w:ilvl w:val="0"/>
          <w:numId w:val="1004"/>
        </w:numPr>
        <w:pStyle w:val="Compact"/>
      </w:pPr>
      <w:r>
        <w:rPr>
          <w:bCs/>
          <w:b/>
        </w:rPr>
        <w:t xml:space="preserve">Dialect Proficiency:</w:t>
      </w:r>
      <w:r>
        <w:t xml:space="preserve"> </w:t>
      </w:r>
      <w:r>
        <w:t xml:space="preserve">Mandatory training in Kansai-ben nuances for non-native speakers.</w:t>
      </w:r>
    </w:p>
    <w:p>
      <w:pPr>
        <w:numPr>
          <w:ilvl w:val="0"/>
          <w:numId w:val="1004"/>
        </w:numPr>
        <w:pStyle w:val="Compact"/>
      </w:pPr>
      <w:r>
        <w:rPr>
          <w:bCs/>
          <w:b/>
        </w:rPr>
        <w:t xml:space="preserve">Digital Integration:</w:t>
      </w:r>
    </w:p>
    <w:p>
      <w:pPr>
        <w:numPr>
          <w:ilvl w:val="0"/>
          <w:numId w:val="1004"/>
        </w:numPr>
        <w:pStyle w:val="Compact"/>
      </w:pPr>
      <w:r>
        <w:rPr>
          <w:bCs/>
          <w:b/>
        </w:rPr>
        <w:t xml:space="preserve">Cultural Sensitivity Training:</w:t>
      </w:r>
      <w:r>
        <w:t xml:space="preserve">: Ensuring policymakers understand the historical pride and independence of Osaka residents.</w:t>
      </w:r>
    </w:p>
    <w:p>
      <w:pPr>
        <w:pStyle w:val="FirstParagraph"/>
      </w:pPr>
      <w:r>
        <w:t xml:space="preserve">In conclusion, the effectiveness of any</w:t>
      </w:r>
      <w:r>
        <w:t xml:space="preserve"> </w:t>
      </w:r>
      <w:r>
        <w:rPr>
          <w:bCs/>
          <w:b/>
        </w:rPr>
        <w:t xml:space="preserve">POLITICIAN</w:t>
      </w:r>
      <w:r>
        <w:t xml:space="preserve"> </w:t>
      </w:r>
      <w:r>
        <w:t xml:space="preserve">in</w:t>
      </w:r>
      <w:r>
        <w:t xml:space="preserve"> </w:t>
      </w:r>
      <w:r>
        <w:rPr>
          <w:bCs/>
          <w:b/>
        </w:rPr>
        <w:t xml:space="preserve">JAPAN OSAKA</w:t>
      </w:r>
      <w:r>
        <w:t xml:space="preserve"> </w:t>
      </w:r>
      <w:r>
        <w:t xml:space="preserve">is directly correlated to their ability to integrate into the local fabric, respecting its history while innovating for its future. The case demonstrates that governance is not one-size-fits-all; it must be tailored to the unique identity of the region it serves.</w:t>
      </w:r>
    </w:p>
    <w:p>
      <w:r>
        <w:pict>
          <v:rect style="width:0;height:1.5pt" o:hralign="center" o:hrstd="t" o:hr="t"/>
        </w:pict>
      </w:r>
    </w:p>
    <w:p>
      <w:pPr>
        <w:pStyle w:val="FirstParagraph"/>
      </w:pPr>
      <w:r>
        <w:rPr>
          <w:iCs/>
          <w:i/>
        </w:rPr>
        <w:t xml:space="preserve">This document was prepared for academic and professional review regarding municipal governance structures in Japan.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Japan Osaka</dc:title>
  <dc:creator/>
  <dc:language>en</dc:language>
  <cp:keywords/>
  <dcterms:created xsi:type="dcterms:W3CDTF">2026-07-29T10:11:31Z</dcterms:created>
  <dcterms:modified xsi:type="dcterms:W3CDTF">2026-07-29T10:11:31Z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