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e1dbdc0fb20e97ee81458ecd17f85350ed6820c"/>
    <w:p>
      <w:pPr>
        <w:pStyle w:val="Heading1"/>
      </w:pPr>
      <w:r>
        <w:t xml:space="preserve">Case Study: Navigating Complex Governance in New Zealand Wellington</w:t>
      </w:r>
    </w:p>
    <w:p>
      <w:pPr>
        <w:pStyle w:val="FirstParagraph"/>
      </w:pPr>
      <w:r>
        <w:rPr>
          <w:bCs/>
          <w:b/>
        </w:rPr>
        <w:t xml:space="preserve">Date:</w:t>
      </w:r>
      <w:r>
        <w:t xml:space="preserve"> </w:t>
      </w:r>
      <w:r>
        <w:t xml:space="preserve">October 24, 2023</w:t>
      </w:r>
      <w:r>
        <w:br/>
      </w:r>
    </w:p>
    <w:p>
      <w:pPr>
        <w:pStyle w:val="BodyText"/>
      </w:pPr>
      <w:r>
        <w:t xml:space="preserve">The Evolution of Political Strategy and Civic Engagement in a Capital City Context</w:t>
      </w:r>
      <w:r>
        <w:br/>
      </w:r>
    </w:p>
    <w:p>
      <w:pPr>
        <w:pStyle w:val="BodyText"/>
      </w:pPr>
      <w:r>
        <w:t xml:space="preserve">New Zealand Wellington</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intricate dynamics of modern political leadership within the capital city of</w:t>
      </w:r>
      <w:r>
        <w:t xml:space="preserve"> </w:t>
      </w:r>
      <w:r>
        <w:rPr>
          <w:bCs/>
          <w:b/>
        </w:rPr>
        <w:t xml:space="preserve">New Zealand Wellington</w:t>
      </w:r>
      <w:r>
        <w:t xml:space="preserve">. As both a regional council area and the seat of national government, Wellington presents a unique dual-layered governance challenge. The primary subject of this analysis is the role and function of the local</w:t>
      </w:r>
      <w:r>
        <w:t xml:space="preserve"> </w:t>
      </w:r>
      <w:r>
        <w:rPr>
          <w:bCs/>
          <w:b/>
        </w:rPr>
        <w:t xml:space="preserve">Politician</w:t>
      </w:r>
      <w:r>
        <w:t xml:space="preserve">, specifically focusing on how elected officials navigate the intersection of metropolitan urban planning, indigenous relations (Tāngata Whenua), climate change resilience, and community representation.</w:t>
      </w:r>
    </w:p>
    <w:p>
      <w:pPr>
        <w:pStyle w:val="BodyText"/>
      </w:pPr>
      <w:r>
        <w:t xml:space="preserve">The purpose of this document is to illustrate how effective political leadership in a dense urban environment requires more than traditional party politics; it demands a nuanced understanding of local heritage, environmental urgency, and social equity. By analyzing specific initiatives undertaken by the Wellington City Council and its associated</w:t>
      </w:r>
      <w:r>
        <w:t xml:space="preserve"> </w:t>
      </w:r>
      <w:r>
        <w:rPr>
          <w:bCs/>
          <w:b/>
        </w:rPr>
        <w:t xml:space="preserve">Politician</w:t>
      </w:r>
      <w:r>
        <w:t xml:space="preserve">s, we can derive broader lessons on civic administration in high-density environments.</w:t>
      </w:r>
    </w:p>
    <w:bookmarkEnd w:id="20"/>
    <w:bookmarkStart w:id="21" w:name="X3d2efceb6dfba1e3643ee1aec5da4484e7c2bf9"/>
    <w:p>
      <w:pPr>
        <w:pStyle w:val="Heading2"/>
      </w:pPr>
      <w:r>
        <w:t xml:space="preserve">2. Background: The Unique Context of New Zealand Wellington</w:t>
      </w:r>
    </w:p>
    <w:p>
      <w:pPr>
        <w:pStyle w:val="FirstParagraph"/>
      </w:pPr>
      <w:r>
        <w:t xml:space="preserve">To understand the role of a</w:t>
      </w:r>
      <w:r>
        <w:t xml:space="preserve"> </w:t>
      </w:r>
      <w:r>
        <w:rPr>
          <w:bCs/>
          <w:b/>
        </w:rPr>
        <w:t xml:space="preserve">Politician</w:t>
      </w:r>
      <w:r>
        <w:t xml:space="preserve"> </w:t>
      </w:r>
      <w:r>
        <w:t xml:space="preserve">in this region, one must first comprehend the geographic and cultural distinctiveness of</w:t>
      </w:r>
      <w:r>
        <w:t xml:space="preserve"> </w:t>
      </w:r>
      <w:r>
        <w:rPr>
          <w:bCs/>
          <w:b/>
        </w:rPr>
        <w:t xml:space="preserve">New Zealand Wellington</w:t>
      </w:r>
      <w:r>
        <w:t xml:space="preserve">. Located at the southern tip of the North Island, Wellington is often referred to as "Windy Welly" due to its harsh weather conditions. However, it is also known as a hub for creative industries, technology startups, and progressive social policies.</w:t>
      </w:r>
    </w:p>
    <w:p>
      <w:pPr>
        <w:pStyle w:val="BodyText"/>
      </w:pPr>
      <w:r>
        <w:t xml:space="preserve">The city’s topography—characterized by steep hills surrounding a compact central business district (CBD) and waterfront—dictates specific infrastructure challenges. Furthermore,</w:t>
      </w:r>
      <w:r>
        <w:t xml:space="preserve"> </w:t>
      </w:r>
      <w:r>
        <w:rPr>
          <w:bCs/>
          <w:b/>
        </w:rPr>
        <w:t xml:space="preserve">New Zealand Wellington</w:t>
      </w:r>
      <w:r>
        <w:t xml:space="preserve"> </w:t>
      </w:r>
      <w:r>
        <w:t xml:space="preserve">is situated on the "Ring of Fire," making seismic resilience a paramount concern for any political administration. The cultural landscape is equally critical; the city has a significant Māori population, and the relationship between local government and Ngāti Toa Rangatira (the local iwi or tribal authority) is governed by Treaty of Waitangi principles. This dual obligation to both colonial legal structures and indigenous rights creates a complex framework within which every</w:t>
      </w:r>
      <w:r>
        <w:t xml:space="preserve"> </w:t>
      </w:r>
      <w:r>
        <w:rPr>
          <w:bCs/>
          <w:b/>
        </w:rPr>
        <w:t xml:space="preserve">Politician</w:t>
      </w:r>
      <w:r>
        <w:t xml:space="preserve"> </w:t>
      </w:r>
      <w:r>
        <w:t xml:space="preserve">must operate.</w:t>
      </w:r>
    </w:p>
    <w:bookmarkEnd w:id="21"/>
    <w:bookmarkStart w:id="24" w:name="X4857e8f7cb46dd2f990dcf62163df6015118159"/>
    <w:p>
      <w:pPr>
        <w:pStyle w:val="Heading2"/>
      </w:pPr>
      <w:r>
        <w:t xml:space="preserve">3. The Role of the Politician in Urban Governance</w:t>
      </w:r>
    </w:p>
    <w:p>
      <w:pPr>
        <w:pStyle w:val="FirstParagraph"/>
      </w:pPr>
      <w:r>
        <w:t xml:space="preserve">In this</w:t>
      </w:r>
      <w:r>
        <w:t xml:space="preserve"> </w:t>
      </w:r>
      <w:r>
        <w:rPr>
          <w:bCs/>
          <w:b/>
        </w:rPr>
        <w:t xml:space="preserve">Case Study</w:t>
      </w:r>
      <w:r>
        <w:t xml:space="preserve">, we define the "Politician" not merely as a party loyalist, but as a facilitator of public trust and urban development. In Wellington, the Mayor and City Councillors hold significant power over land use, transport networks, and environmental regulation.</w:t>
      </w:r>
    </w:p>
    <w:bookmarkStart w:id="22" w:name="balancing-national-vs.-local-interests"/>
    <w:p>
      <w:pPr>
        <w:pStyle w:val="Heading3"/>
      </w:pPr>
      <w:r>
        <w:t xml:space="preserve">3.1 Balancing National vs. Local Interests</w:t>
      </w:r>
    </w:p>
    <w:p>
      <w:pPr>
        <w:pStyle w:val="FirstParagraph"/>
      </w:pPr>
      <w:r>
        <w:t xml:space="preserve">A unique tension exists in</w:t>
      </w:r>
      <w:r>
        <w:t xml:space="preserve"> </w:t>
      </w:r>
      <w:r>
        <w:rPr>
          <w:bCs/>
          <w:b/>
        </w:rPr>
        <w:t xml:space="preserve">New Zealand Wellington</w:t>
      </w:r>
      <w:r>
        <w:t xml:space="preserve">: while it is the political heart of the nation (housing Parliament House), local councillors have no jurisdiction over national housing policy or rail networks operated by KiwiRail. However, a skilled</w:t>
      </w:r>
      <w:r>
        <w:t xml:space="preserve"> </w:t>
      </w:r>
      <w:r>
        <w:rPr>
          <w:bCs/>
          <w:b/>
        </w:rPr>
        <w:t xml:space="preserve">Politician</w:t>
      </w:r>
      <w:r>
        <w:t xml:space="preserve"> </w:t>
      </w:r>
      <w:r>
        <w:t xml:space="preserve">in this context must act as an advocate, negotiating with central government agencies to secure funding for local infrastructure. This requires high-level diplomatic skills and the ability to build cross-party alliances at the federal level to benefit local constituents.</w:t>
      </w:r>
    </w:p>
    <w:bookmarkEnd w:id="22"/>
    <w:bookmarkStart w:id="23" w:name="X44a69166027157f04e9eb3f49d86648cd03dae0"/>
    <w:p>
      <w:pPr>
        <w:pStyle w:val="Heading3"/>
      </w:pPr>
      <w:r>
        <w:t xml:space="preserve">2 The Emphasis on Sustainability and Climate Action</w:t>
      </w:r>
    </w:p>
    <w:p>
      <w:pPr>
        <w:pStyle w:val="FirstParagraph"/>
      </w:pPr>
      <w:r>
        <w:t xml:space="preserve">A defining characteristic of recent political discourse in</w:t>
      </w:r>
      <w:r>
        <w:t xml:space="preserve"> </w:t>
      </w:r>
      <w:r>
        <w:rPr>
          <w:bCs/>
          <w:b/>
        </w:rPr>
        <w:t xml:space="preserve">New Zealand Wellington</w:t>
      </w:r>
      <w:r>
        <w:t xml:space="preserve"> </w:t>
      </w:r>
      <w:r>
        <w:t xml:space="preserve">has been the aggressive pursuit of climate neutrality goals. The city aims to be carbon neutral by 2040. For a</w:t>
      </w:r>
      <w:r>
        <w:t xml:space="preserve"> </w:t>
      </w:r>
      <w:r>
        <w:rPr>
          <w:bCs/>
          <w:b/>
        </w:rPr>
        <w:t xml:space="preserve">Politician</w:t>
      </w:r>
      <w:r>
        <w:t xml:space="preserve">, this translates into tangible policy decisions:</w:t>
      </w:r>
    </w:p>
    <w:p>
      <w:pPr>
        <w:numPr>
          <w:ilvl w:val="0"/>
          <w:numId w:val="1001"/>
        </w:numPr>
        <w:pStyle w:val="Compact"/>
      </w:pPr>
      <w:r>
        <w:rPr>
          <w:bCs/>
          <w:b/>
        </w:rPr>
        <w:t xml:space="preserve">Transport Reform:</w:t>
      </w:r>
      <w:r>
        <w:t xml:space="preserve"> </w:t>
      </w:r>
      <w:r>
        <w:t xml:space="preserve">Shifting from car-centric planning to prioritizing pedestrian walkways, cycle lanes, and electric bus fleets.</w:t>
      </w:r>
    </w:p>
    <w:p>
      <w:pPr>
        <w:numPr>
          <w:ilvl w:val="0"/>
          <w:numId w:val="1001"/>
        </w:numPr>
        <w:pStyle w:val="Compact"/>
      </w:pPr>
      <w:r>
        <w:rPr>
          <w:bCs/>
          <w:b/>
        </w:rPr>
        <w:t xml:space="preserve">Housing Density:</w:t>
      </w:r>
      <w:r>
        <w:t xml:space="preserve"> </w:t>
      </w:r>
      <w:r>
        <w:t xml:space="preserve">Promoting medium-density housing to reduce urban sprawl and carbon footprints.</w:t>
      </w:r>
    </w:p>
    <w:p>
      <w:pPr>
        <w:numPr>
          <w:ilvl w:val="0"/>
          <w:numId w:val="1001"/>
        </w:numPr>
        <w:pStyle w:val="Compact"/>
      </w:pPr>
      <w:r>
        <w:rPr>
          <w:bCs/>
          <w:b/>
        </w:rPr>
        <w:t xml:space="preserve">Green Infrastructure:</w:t>
      </w:r>
      <w:r>
        <w:t xml:space="preserve"> </w:t>
      </w:r>
      <w:r>
        <w:t xml:space="preserve">Mandating green roofs and sustainable drainage systems in new developments.</w:t>
      </w:r>
    </w:p>
    <w:p>
      <w:pPr>
        <w:pStyle w:val="FirstParagraph"/>
      </w:pPr>
      <w:r>
        <w:t xml:space="preserve">The effectiveness of these measures depends heavily on the</w:t>
      </w:r>
      <w:r>
        <w:t xml:space="preserve"> </w:t>
      </w:r>
      <w:r>
        <w:rPr>
          <w:bCs/>
          <w:b/>
        </w:rPr>
        <w:t xml:space="preserve">Politician</w:t>
      </w:r>
      <w:r>
        <w:t xml:space="preserve">'s ability to communicate the long-term benefits to residents who may resist short-term disruptions during construction or zoning changes.</w:t>
      </w:r>
    </w:p>
    <w:bookmarkEnd w:id="23"/>
    <w:bookmarkEnd w:id="24"/>
    <w:bookmarkStart w:id="27" w:name="key-challenges-and-strategic-responses"/>
    <w:p>
      <w:pPr>
        <w:pStyle w:val="Heading2"/>
      </w:pPr>
      <w:r>
        <w:t xml:space="preserve">4. Key Challenges and Strategic Responses</w:t>
      </w:r>
    </w:p>
    <w:p>
      <w:pPr>
        <w:pStyle w:val="FirstParagraph"/>
      </w:pPr>
      <w:r>
        <w:t xml:space="preserve">The following section outlines critical challenges faced by political leaders in</w:t>
      </w:r>
      <w:r>
        <w:t xml:space="preserve"> </w:t>
      </w:r>
      <w:r>
        <w:rPr>
          <w:bCs/>
          <w:b/>
        </w:rPr>
        <w:t xml:space="preserve">New Zealand Wellington</w:t>
      </w:r>
      <w:r>
        <w:t xml:space="preserve"> </w:t>
      </w:r>
      <w:r>
        <w:t xml:space="preserve">and the strategic responses employed.</w:t>
      </w:r>
    </w:p>
    <w:bookmarkStart w:id="25" w:name="X2ff09628a2f0fd1b577e5d91caba696ebf8968d"/>
    <w:p>
      <w:pPr>
        <w:pStyle w:val="Heading3"/>
      </w:pPr>
      <w:r>
        <w:t xml:space="preserve">Challenge 1: Seismic Resilience of Heritage Buildings</w:t>
      </w:r>
    </w:p>
    <w:p>
      <w:pPr>
        <w:pStyle w:val="FirstParagraph"/>
      </w:pPr>
      <w:r>
        <w:rPr>
          <w:bCs/>
          <w:b/>
        </w:rPr>
        <w:t xml:space="preserve">New Zealand Wellington</w:t>
      </w:r>
      <w:r>
        <w:t xml:space="preserve"> </w:t>
      </w:r>
      <w:r>
        <w:t xml:space="preserve">possesses a rich architectural heritage, much of which is vulnerable to earthquakes. A major responsibility for the local council is enforcing building codes that require retrofitting. This often puts</w:t>
      </w:r>
      <w:r>
        <w:t xml:space="preserve"> </w:t>
      </w:r>
      <w:r>
        <w:rPr>
          <w:bCs/>
          <w:b/>
        </w:rPr>
        <w:t xml:space="preserve">Politician</w:t>
      </w:r>
      <w:r>
        <w:t xml:space="preserve">s in conflict with property owners who cite financial burdens as a reason for non-compliance.</w:t>
      </w:r>
    </w:p>
    <w:p>
      <w:pPr>
        <w:pStyle w:val="BodyText"/>
      </w:pPr>
      <w:r>
        <w:rPr>
          <w:bCs/>
          <w:b/>
        </w:rPr>
        <w:t xml:space="preserve">Strategic Response:</w:t>
      </w:r>
      <w:r>
        <w:t xml:space="preserve"> </w:t>
      </w:r>
      <w:r>
        <w:t xml:space="preserve">Successful administrations have introduced subsidy schemes and grants to assist heritage building owners. By framing seismic upgrading not just as a safety issue but as an economic preservation strategy,</w:t>
      </w:r>
      <w:r>
        <w:t xml:space="preserve"> </w:t>
      </w:r>
      <w:r>
        <w:rPr>
          <w:bCs/>
          <w:b/>
        </w:rPr>
        <w:t xml:space="preserve">Politician</w:t>
      </w:r>
      <w:r>
        <w:t xml:space="preserve">s can garner broader community support.</w:t>
      </w:r>
    </w:p>
    <w:bookmarkEnd w:id="25"/>
    <w:bookmarkStart w:id="26" w:name="Xa4b15f14a79332fb128a7c5113b238ff61cc448"/>
    <w:p>
      <w:pPr>
        <w:pStyle w:val="Heading3"/>
      </w:pPr>
      <w:r>
        <w:t xml:space="preserve">Challenge 2: Social Equity and Affordability</w:t>
      </w:r>
    </w:p>
    <w:p>
      <w:pPr>
        <w:pStyle w:val="FirstParagraph"/>
      </w:pPr>
      <w:r>
        <w:t xml:space="preserve">The housing crisis in</w:t>
      </w:r>
      <w:r>
        <w:t xml:space="preserve"> </w:t>
      </w:r>
      <w:r>
        <w:rPr>
          <w:bCs/>
          <w:b/>
        </w:rPr>
        <w:t xml:space="preserve">New Zealand Wellington</w:t>
      </w:r>
      <w:r>
        <w:t xml:space="preserve">, like much of the country, has led to rising rents and displacement of low-income families. The challenge for a</w:t>
      </w:r>
      <w:r>
        <w:t xml:space="preserve"> </w:t>
      </w:r>
      <w:r>
        <w:rPr>
          <w:bCs/>
          <w:b/>
        </w:rPr>
        <w:t xml:space="preserve">Politician</w:t>
      </w:r>
      <w:r>
        <w:t xml:space="preserve"> </w:t>
      </w:r>
      <w:r>
        <w:t xml:space="preserve">is to increase supply without gentrifying neighborhoods or destroying community cohesion.</w:t>
      </w:r>
    </w:p>
    <w:p>
      <w:pPr>
        <w:pStyle w:val="BodyText"/>
      </w:pPr>
      <w:r>
        <w:rPr>
          <w:bCs/>
          <w:b/>
        </w:rPr>
        <w:t xml:space="preserve">Strategic Response:</w:t>
      </w:r>
      <w:r>
        <w:t xml:space="preserve"> </w:t>
      </w:r>
      <w:r>
        <w:t xml:space="preserve">Implementing inclusive zoning policies that require a percentage of new developments to be affordable housing. Furthermore, engaging directly with community groups and Māori organizations to ensure that development plans respect cultural sites and provide benefits to the original communities.</w:t>
      </w:r>
    </w:p>
    <w:bookmarkEnd w:id="26"/>
    <w:bookmarkEnd w:id="27"/>
    <w:bookmarkStart w:id="28" w:name="Xe8ed0e0fa41b750b70536de92b7893d27aa50d0"/>
    <w:p>
      <w:pPr>
        <w:pStyle w:val="Heading2"/>
      </w:pPr>
      <w:r>
        <w:t xml:space="preserve">5. Case Example: The "One Wellington" Transport Vision</w:t>
      </w:r>
    </w:p>
    <w:p>
      <w:pPr>
        <w:pStyle w:val="FirstParagraph"/>
      </w:pPr>
      <w:r>
        <w:t xml:space="preserve">To make this</w:t>
      </w:r>
      <w:r>
        <w:t xml:space="preserve"> </w:t>
      </w:r>
      <w:r>
        <w:rPr>
          <w:bCs/>
          <w:b/>
        </w:rPr>
        <w:t xml:space="preserve">Case Study</w:t>
      </w:r>
      <w:r>
        <w:t xml:space="preserve"> </w:t>
      </w:r>
      <w:r>
        <w:t xml:space="preserve">concrete, we examine the implementation of comprehensive transport reforms in</w:t>
      </w:r>
      <w:r>
        <w:t xml:space="preserve"> </w:t>
      </w:r>
      <w:r>
        <w:rPr>
          <w:bCs/>
          <w:b/>
        </w:rPr>
        <w:t xml:space="preserve">New Zealand Wellington</w:t>
      </w:r>
      <w:r>
        <w:t xml:space="preserve">. Historically dependent on private vehicles due to topographical constraints, the city has undergone a significant shift.</w:t>
      </w:r>
    </w:p>
    <w:p>
      <w:pPr>
        <w:pStyle w:val="BodyText"/>
      </w:pPr>
      <w:r>
        <w:t xml:space="preserve">The</w:t>
      </w:r>
      <w:r>
        <w:t xml:space="preserve"> </w:t>
      </w:r>
      <w:r>
        <w:rPr>
          <w:bCs/>
          <w:b/>
        </w:rPr>
        <w:t xml:space="preserve">Politician</w:t>
      </w:r>
      <w:r>
        <w:t xml:space="preserve">s responsible for this transition had to overcome significant public skepticism. The removal of parking spaces in the CBD to create protected cycle lanes and wider sidewalks was initially met with resistance from business owners fearing loss of customers. However, through rigorous data presentation showing increased foot traffic and consumer spending in pedestrianized zones, the political narrative shifted.</w:t>
      </w:r>
    </w:p>
    <w:p>
      <w:pPr>
        <w:pStyle w:val="BodyText"/>
      </w:pPr>
      <w:r>
        <w:t xml:space="preserve">Key elements included:</w:t>
      </w:r>
    </w:p>
    <w:p>
      <w:pPr>
        <w:numPr>
          <w:ilvl w:val="0"/>
          <w:numId w:val="1002"/>
        </w:numPr>
        <w:pStyle w:val="Compact"/>
      </w:pPr>
      <w:r>
        <w:rPr>
          <w:bCs/>
          <w:b/>
        </w:rPr>
        <w:t xml:space="preserve">Data-Driven Decision Making:</w:t>
      </w:r>
      <w:r>
        <w:t xml:space="preserve"> </w:t>
      </w:r>
      <w:r>
        <w:t xml:space="preserve">Polling and economic analysis were used to justify decisions, moving the debate from ideology to evidence.</w:t>
      </w:r>
    </w:p>
    <w:p>
      <w:pPr>
        <w:numPr>
          <w:ilvl w:val="0"/>
          <w:numId w:val="1002"/>
        </w:numPr>
        <w:pStyle w:val="Compact"/>
      </w:pPr>
      <w:r>
        <w:rPr>
          <w:bCs/>
          <w:b/>
        </w:rPr>
        <w:t xml:space="preserve">Māori Partnership:</w:t>
      </w:r>
      <w:r>
        <w:t xml:space="preserve"> </w:t>
      </w:r>
      <w:r>
        <w:t xml:space="preserve">Ensuring that transport routes connected key Māori cultural institutions and provided equitable access for rural communities on the Hutt Valley line.</w:t>
      </w:r>
    </w:p>
    <w:p>
      <w:pPr>
        <w:numPr>
          <w:ilvl w:val="0"/>
          <w:numId w:val="1002"/>
        </w:numPr>
        <w:pStyle w:val="Compact"/>
      </w:pPr>
      <w:r>
        <w:rPr>
          <w:bCs/>
          <w:b/>
        </w:rPr>
        <w:t xml:space="preserve">Digital Integration:</w:t>
      </w:r>
      <w:r>
        <w:t xml:space="preserve"> </w:t>
      </w:r>
      <w:r>
        <w:t xml:space="preserve">Launching unified digital payment systems (ATAGO cards) to make public transport seamless.</w:t>
      </w:r>
    </w:p>
    <w:p>
      <w:pPr>
        <w:pStyle w:val="FirstParagraph"/>
      </w:pPr>
      <w:r>
        <w:t xml:space="preserve">The outcome has been a measurable reduction in car dependency and an improvement in the city’s livability index. This success is attributed to</w:t>
      </w:r>
      <w:r>
        <w:t xml:space="preserve"> </w:t>
      </w:r>
      <w:r>
        <w:rPr>
          <w:bCs/>
          <w:b/>
        </w:rPr>
        <w:t xml:space="preserve">Politician</w:t>
      </w:r>
      <w:r>
        <w:t xml:space="preserve">s who maintained consistent messaging over multiple electoral cycles, demonstrating patience and long-term vision.</w:t>
      </w:r>
    </w:p>
    <w:bookmarkEnd w:id="28"/>
    <w:bookmarkStart w:id="29" w:name="lessons-learned-for-future-governance"/>
    <w:p>
      <w:pPr>
        <w:pStyle w:val="Heading2"/>
      </w:pPr>
      <w:r>
        <w:t xml:space="preserve">6. Lessons Learned for Future Governance</w:t>
      </w:r>
    </w:p>
    <w:p>
      <w:pPr>
        <w:pStyle w:val="FirstParagraph"/>
      </w:pPr>
      <w:r>
        <w:t xml:space="preserve">This</w:t>
      </w:r>
      <w:r>
        <w:t xml:space="preserve"> </w:t>
      </w:r>
      <w:r>
        <w:rPr>
          <w:bCs/>
          <w:b/>
        </w:rPr>
        <w:t xml:space="preserve">Case Study</w:t>
      </w:r>
      <w:r>
        <w:t xml:space="preserve"> </w:t>
      </w:r>
      <w:r>
        <w:t xml:space="preserve">of political leadership in</w:t>
      </w:r>
      <w:r>
        <w:t xml:space="preserve"> </w:t>
      </w:r>
      <w:r>
        <w:rPr>
          <w:bCs/>
          <w:b/>
        </w:rPr>
        <w:t xml:space="preserve">New Zealand Wellington</w:t>
      </w:r>
      <w:r>
        <w:t xml:space="preserve"> </w:t>
      </w:r>
      <w:r>
        <w:t xml:space="preserve">offers several universal takeaways for aspiring and current</w:t>
      </w:r>
      <w:r>
        <w:t xml:space="preserve"> </w:t>
      </w:r>
      <w:r>
        <w:rPr>
          <w:bCs/>
          <w:b/>
        </w:rPr>
        <w:t xml:space="preserve">Politician</w:t>
      </w:r>
      <w:r>
        <w:t xml:space="preserve">s:</w:t>
      </w:r>
    </w:p>
    <w:p>
      <w:pPr>
        <w:numPr>
          <w:ilvl w:val="0"/>
          <w:numId w:val="1003"/>
        </w:numPr>
        <w:pStyle w:val="Compact"/>
      </w:pPr>
      <w:r>
        <w:rPr>
          <w:bCs/>
          <w:b/>
        </w:rPr>
        <w:t xml:space="preserve">Local Identity Matters:</w:t>
      </w:r>
      <w:r>
        <w:t xml:space="preserve"> </w:t>
      </w:r>
      <w:r>
        <w:t xml:space="preserve">Governance cannot be imported from other cities. Solutions must respect the unique geography, culture, and history of</w:t>
      </w:r>
      <w:r>
        <w:t xml:space="preserve"> </w:t>
      </w:r>
      <w:r>
        <w:rPr>
          <w:bCs/>
          <w:b/>
        </w:rPr>
        <w:t xml:space="preserve">New Zealand Wellington</w:t>
      </w:r>
      <w:r>
        <w:t xml:space="preserve">.</w:t>
      </w:r>
    </w:p>
    <w:p>
      <w:pPr>
        <w:numPr>
          <w:ilvl w:val="0"/>
          <w:numId w:val="1003"/>
        </w:numPr>
        <w:pStyle w:val="Compact"/>
      </w:pPr>
      <w:r>
        <w:rPr>
          <w:bCs/>
          <w:b/>
        </w:rPr>
        <w:t xml:space="preserve">Treaty Obligations are Central:</w:t>
      </w:r>
      <w:r>
        <w:t xml:space="preserve"> </w:t>
      </w:r>
      <w:r>
        <w:t xml:space="preserve">Engaging with Māori stakeholders is not a box-ticking exercise but a fundamental aspect of democratic legitimacy in New Zealand.</w:t>
      </w:r>
    </w:p>
    <w:p>
      <w:pPr>
        <w:numPr>
          <w:ilvl w:val="0"/>
          <w:numId w:val="1003"/>
        </w:numPr>
        <w:pStyle w:val="Compact"/>
      </w:pPr>
      <w:r>
        <w:rPr>
          <w:bCs/>
          <w:b/>
        </w:rPr>
        <w:t xml:space="preserve">Sustainability is Economic Policy:</w:t>
      </w:r>
      <w:r>
        <w:t xml:space="preserve"> </w:t>
      </w:r>
      <w:r>
        <w:t xml:space="preserve">Environmental initiatives, when communicated effectively, drive economic growth and social well-being.</w:t>
      </w:r>
    </w:p>
    <w:p>
      <w:pPr>
        <w:numPr>
          <w:ilvl w:val="0"/>
          <w:numId w:val="1003"/>
        </w:numPr>
        <w:pStyle w:val="Compact"/>
      </w:pPr>
      <w:r>
        <w:rPr>
          <w:bCs/>
          <w:b/>
        </w:rPr>
        <w:t xml:space="preserve">Communication is Key:</w:t>
      </w:r>
      <w:r>
        <w:t xml:space="preserve">The most complex technical plans fail if a</w:t>
      </w:r>
      <w:r>
        <w:t xml:space="preserve"> </w:t>
      </w:r>
      <w:r>
        <w:rPr>
          <w:bCs/>
          <w:b/>
        </w:rPr>
        <w:t xml:space="preserve">Politician</w:t>
      </w:r>
      <w:r>
        <w:t xml:space="preserve"> </w:t>
      </w:r>
      <w:r>
        <w:t xml:space="preserve">cannot explain their benefit to the average citizen.</w:t>
      </w:r>
    </w:p>
    <w:bookmarkEnd w:id="29"/>
    <w:bookmarkStart w:id="30" w:name="conclusion"/>
    <w:p>
      <w:pPr>
        <w:pStyle w:val="Heading2"/>
      </w:pPr>
      <w:r>
        <w:t xml:space="preserve">7. 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New Zealand Wellington</w:t>
      </w:r>
      <w:r>
        <w:t xml:space="preserve"> </w:t>
      </w:r>
      <w:r>
        <w:t xml:space="preserve">is one of profound complexity and high stakes. It requires balancing immediate community needs with long-term sustainability goals, all while navigating the intricate legal and cultural framework of New Zealand society. The successes detailed in this</w:t>
      </w:r>
      <w:r>
        <w:t xml:space="preserve"> </w:t>
      </w:r>
      <w:r>
        <w:rPr>
          <w:bCs/>
          <w:b/>
        </w:rPr>
        <w:t xml:space="preserve">Case Study</w:t>
      </w:r>
      <w:r>
        <w:t xml:space="preserve"> </w:t>
      </w:r>
      <w:r>
        <w:t xml:space="preserve">demonstrate that when political leadership is grounded in evidence, inclusivity, and environmental responsibility, a capital city can evolve into a model of modern urban living. As challenges such as climate change and housing affordability intensify, the lessons derived from Wellington’s experience will remain relevant for</w:t>
      </w:r>
      <w:r>
        <w:t xml:space="preserve"> </w:t>
      </w:r>
      <w:r>
        <w:rPr>
          <w:bCs/>
          <w:b/>
        </w:rPr>
        <w:t xml:space="preserve">Politician</w:t>
      </w:r>
      <w:r>
        <w:t xml:space="preserve">s across the globe seeking to build resilient, equitable, and vibrant communities.</w:t>
      </w:r>
    </w:p>
    <w:p>
      <w:pPr>
        <w:pStyle w:val="BodyText"/>
      </w:pPr>
      <w:r>
        <w:t xml:space="preserve">Future research should focus on post-pandemic recovery strategies in</w:t>
      </w:r>
      <w:r>
        <w:t xml:space="preserve"> </w:t>
      </w:r>
      <w:r>
        <w:rPr>
          <w:bCs/>
          <w:b/>
        </w:rPr>
        <w:t xml:space="preserve">New Zealand Wellington</w:t>
      </w:r>
      <w:r>
        <w:t xml:space="preserve">, analyzing how remote work trends are reshaping urban planning priorities for local</w:t>
      </w:r>
      <w:r>
        <w:t xml:space="preserve"> </w:t>
      </w:r>
      <w:r>
        <w:rPr>
          <w:bCs/>
          <w:b/>
        </w:rPr>
        <w:t xml:space="preserve">Politician</w:t>
      </w:r>
      <w:r>
        <w:t xml:space="preser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New Zealand Wellington</dc:title>
  <dc:creator/>
  <dc:language>en</dc:language>
  <cp:keywords/>
  <dcterms:created xsi:type="dcterms:W3CDTF">2026-07-30T13:22:05Z</dcterms:created>
  <dcterms:modified xsi:type="dcterms:W3CDTF">2026-07-30T13:22:05Z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