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and</w:t>
      </w:r>
      <w:r>
        <w:t xml:space="preserve"> </w:t>
      </w:r>
      <w:r>
        <w:t xml:space="preserve">Civic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X02baafa513b5e8edc6452231a1bbe5feca37919"/>
    <w:p>
      <w:pPr>
        <w:pStyle w:val="Heading1"/>
      </w:pPr>
      <w:r>
        <w:t xml:space="preserve">CASE STUDY: The Modern Politician in the Capital City of Pakistan,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Analyzing Political Dynamics, Accountability, and Civic Engagement for a Politician operating within Islamabad, Pakistan.</w:t>
      </w:r>
      <w:r>
        <w:br/>
      </w:r>
      <w:r>
        <w:rPr>
          <w:bCs/>
          <w:b/>
        </w:rPr>
        <w:t xml:space="preserve">Type: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Political Leadership and Civic Engagement in Islamabad, Pakistan</dc:title>
  <dc:creator/>
  <dc:language>en</dc:language>
  <cp:keywords/>
  <dcterms:created xsi:type="dcterms:W3CDTF">2026-09-27T16:28:45Z</dcterms:created>
  <dcterms:modified xsi:type="dcterms:W3CDTF">2026-09-27T16:28:45Z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